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B3" w:rsidRPr="00B22B06" w:rsidRDefault="00A659B3" w:rsidP="00A659B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659B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УДК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5238E" w:rsidRPr="00D5238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="00D5238E" w:rsidRPr="00B22B0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4-52</w:t>
      </w:r>
    </w:p>
    <w:p w:rsidR="00A659B3" w:rsidRDefault="00A659B3" w:rsidP="00A659B3">
      <w:pPr>
        <w:spacing w:after="0" w:line="240" w:lineRule="auto"/>
        <w:ind w:firstLine="708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659B3" w:rsidRDefault="007A7462" w:rsidP="00A659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УСТАНОВКА АИИСКУЭ В НОВОМ ЖИЛОМ ФОНДЕ. ПРЕИМУЩЕСТВА СИСТЕМЫ И ВЫБОР ОБОРУДОВАНИЯ</w:t>
      </w:r>
    </w:p>
    <w:p w:rsidR="00A659B3" w:rsidRDefault="00A659B3" w:rsidP="00672BA0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</w:p>
    <w:p w:rsidR="00672BA0" w:rsidRPr="00F511A2" w:rsidRDefault="00F511A2" w:rsidP="00672BA0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511A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Юрьев Ю.Н.</w:t>
      </w:r>
      <w:r w:rsidR="00C95A1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, Павлов Ю.В., Соколова Е.В.</w:t>
      </w:r>
    </w:p>
    <w:p w:rsidR="00672BA0" w:rsidRDefault="00672BA0" w:rsidP="00672BA0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672BA0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Россия, г. Орел, ООО «Орловский энергосбыт»</w:t>
      </w:r>
    </w:p>
    <w:p w:rsidR="00672BA0" w:rsidRDefault="00672BA0" w:rsidP="00672BA0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</w:p>
    <w:p w:rsidR="00672BA0" w:rsidRPr="00F511A2" w:rsidRDefault="00F511A2" w:rsidP="00BF283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F511A2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Аннотация. </w:t>
      </w:r>
      <w:r w:rsidR="00672BA0" w:rsidRPr="00F511A2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Цель статьи – обобщить опыт по использованию АИИСКУЭ в многоквартирных жилых домах с точки зрения </w:t>
      </w:r>
      <w:r w:rsidR="00A659B3" w:rsidRPr="00F511A2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выбора оптимального оборудования, </w:t>
      </w:r>
      <w:r w:rsidR="00672BA0" w:rsidRPr="00F511A2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экономической эффективности, технологической надежности, функциональности и влияния на расчеты с </w:t>
      </w:r>
      <w:r w:rsidR="00A659B3" w:rsidRPr="00F511A2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потребителями. В результате анализа была обоснована целесообразность установки АИИСКУЭ и уточнены основные характеристики, благодаря которым система способна продемонстрировать максимальную эффективность. </w:t>
      </w:r>
    </w:p>
    <w:p w:rsidR="00A659B3" w:rsidRPr="00357176" w:rsidRDefault="00F511A2" w:rsidP="00BF283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0"/>
        </w:rPr>
      </w:pPr>
      <w:r w:rsidRPr="00357176">
        <w:rPr>
          <w:rFonts w:ascii="Times New Roman" w:hAnsi="Times New Roman" w:cs="Times New Roman"/>
          <w:i/>
          <w:color w:val="0D0D0D" w:themeColor="text1" w:themeTint="F2"/>
          <w:sz w:val="24"/>
          <w:szCs w:val="20"/>
        </w:rPr>
        <w:t xml:space="preserve">Ключевые слова: </w:t>
      </w:r>
      <w:r w:rsidR="00A659B3" w:rsidRPr="00357176">
        <w:rPr>
          <w:rFonts w:ascii="Times New Roman" w:hAnsi="Times New Roman" w:cs="Times New Roman"/>
          <w:i/>
          <w:color w:val="0D0D0D" w:themeColor="text1" w:themeTint="F2"/>
          <w:sz w:val="24"/>
          <w:szCs w:val="20"/>
        </w:rPr>
        <w:t xml:space="preserve">АИИСКУЭ, </w:t>
      </w:r>
      <w:r w:rsidR="007A7462" w:rsidRPr="00357176">
        <w:rPr>
          <w:rFonts w:ascii="Times New Roman" w:hAnsi="Times New Roman" w:cs="Times New Roman"/>
          <w:i/>
          <w:color w:val="0D0D0D" w:themeColor="text1" w:themeTint="F2"/>
          <w:sz w:val="24"/>
          <w:szCs w:val="20"/>
          <w:lang w:val="en-US"/>
        </w:rPr>
        <w:t>RS</w:t>
      </w:r>
      <w:r w:rsidR="007A7462" w:rsidRPr="00357176">
        <w:rPr>
          <w:rFonts w:ascii="Times New Roman" w:hAnsi="Times New Roman" w:cs="Times New Roman"/>
          <w:i/>
          <w:color w:val="0D0D0D" w:themeColor="text1" w:themeTint="F2"/>
          <w:sz w:val="24"/>
          <w:szCs w:val="20"/>
        </w:rPr>
        <w:t xml:space="preserve">-485, </w:t>
      </w:r>
      <w:r w:rsidR="00A659B3" w:rsidRPr="00357176">
        <w:rPr>
          <w:rFonts w:ascii="Times New Roman" w:hAnsi="Times New Roman" w:cs="Times New Roman"/>
          <w:i/>
          <w:color w:val="0D0D0D" w:themeColor="text1" w:themeTint="F2"/>
          <w:sz w:val="24"/>
          <w:szCs w:val="20"/>
          <w:lang w:val="en-US"/>
        </w:rPr>
        <w:t>PLC</w:t>
      </w:r>
      <w:r w:rsidR="00A659B3" w:rsidRPr="00357176">
        <w:rPr>
          <w:rFonts w:ascii="Times New Roman" w:hAnsi="Times New Roman" w:cs="Times New Roman"/>
          <w:i/>
          <w:color w:val="0D0D0D" w:themeColor="text1" w:themeTint="F2"/>
          <w:sz w:val="24"/>
          <w:szCs w:val="20"/>
        </w:rPr>
        <w:t>,</w:t>
      </w:r>
      <w:r w:rsidR="007A7462" w:rsidRPr="00357176">
        <w:rPr>
          <w:rFonts w:ascii="Times New Roman" w:hAnsi="Times New Roman" w:cs="Times New Roman"/>
          <w:i/>
          <w:color w:val="0D0D0D" w:themeColor="text1" w:themeTint="F2"/>
          <w:sz w:val="24"/>
          <w:szCs w:val="20"/>
        </w:rPr>
        <w:t xml:space="preserve"> </w:t>
      </w:r>
      <w:r w:rsidR="007A7462" w:rsidRPr="00357176">
        <w:rPr>
          <w:rFonts w:ascii="Times New Roman" w:hAnsi="Times New Roman" w:cs="Times New Roman"/>
          <w:i/>
          <w:color w:val="0D0D0D" w:themeColor="text1" w:themeTint="F2"/>
          <w:sz w:val="24"/>
          <w:szCs w:val="20"/>
          <w:lang w:val="en-US"/>
        </w:rPr>
        <w:t>ZigBee</w:t>
      </w:r>
      <w:r w:rsidR="007A7462" w:rsidRPr="00357176">
        <w:rPr>
          <w:rFonts w:ascii="Times New Roman" w:hAnsi="Times New Roman" w:cs="Times New Roman"/>
          <w:i/>
          <w:color w:val="0D0D0D" w:themeColor="text1" w:themeTint="F2"/>
          <w:sz w:val="24"/>
          <w:szCs w:val="20"/>
        </w:rPr>
        <w:t>,</w:t>
      </w:r>
      <w:r w:rsidR="00A659B3" w:rsidRPr="00357176">
        <w:rPr>
          <w:rFonts w:ascii="Times New Roman" w:hAnsi="Times New Roman" w:cs="Times New Roman"/>
          <w:i/>
          <w:color w:val="0D0D0D" w:themeColor="text1" w:themeTint="F2"/>
          <w:sz w:val="24"/>
          <w:szCs w:val="20"/>
        </w:rPr>
        <w:t xml:space="preserve"> прибор учета электроэнергии, беспроводная передача информации, ОДН, ООО «Орловский энергосбыт»</w:t>
      </w:r>
    </w:p>
    <w:p w:rsidR="00A659B3" w:rsidRPr="0022129C" w:rsidRDefault="00A659B3" w:rsidP="00BF283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9945FE" w:rsidRPr="0022129C" w:rsidRDefault="00B41829" w:rsidP="00BF283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212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Вступление в силу Постановления П</w:t>
      </w:r>
      <w:r w:rsidR="00830195" w:rsidRPr="002212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равительства № 522 от 27.12.2018 г. внесло существенные изменения в порядок учета электроэнергии для потребителей всех категорий. С 1 июля 2020 года потребители освобождаются от обязанности по установке и замене </w:t>
      </w:r>
      <w:r w:rsidR="00D0296E" w:rsidRPr="002212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электросчетчиков</w:t>
      </w:r>
      <w:r w:rsidR="00830195" w:rsidRPr="002212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необходимость выполнения мероприятий по обеспечению учет</w:t>
      </w:r>
      <w:r w:rsidR="009155A5" w:rsidRPr="002212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 перешла к энергокомпаниям, однако до 1 января 2022 года сетевые организации и гарантирующие поставщики могут устанавливать взамен вышедших из строя или за межповерочный интервал приборы учета </w:t>
      </w:r>
      <w:r w:rsidR="003F6B90" w:rsidRPr="002212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 привычным набором функций, не интеллектуальные</w:t>
      </w:r>
      <w:r w:rsidR="009155A5" w:rsidRPr="002212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Для нового жилья, которое только вводится в эксплуатацию</w:t>
      </w:r>
      <w:r w:rsidR="00D0296E" w:rsidRPr="002212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9155A5" w:rsidRPr="002212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правила </w:t>
      </w:r>
      <w:r w:rsidR="00C95A16" w:rsidRPr="005506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действующем на сегодняшний день законодательстве</w:t>
      </w:r>
      <w:r w:rsidR="00C95A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155A5" w:rsidRPr="002212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несколько другие – с 1 января 2021 го</w:t>
      </w:r>
      <w:r w:rsidR="009945FE" w:rsidRPr="002212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да этот жилой фонд должен быть оснащен общедомовыми и индивидуальными приборами учета с таким набором функций, который даст возможность интегрировать каждый прибор в интеллектуальную систему учета, а именно:</w:t>
      </w:r>
      <w:r w:rsidR="00A72445" w:rsidRPr="002212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945FE" w:rsidRPr="0022129C" w:rsidRDefault="009945FE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>а) передача показаний и результатов измерений прибора учета электрической энергии, присоединенного к интеллектуальной системе учета;</w:t>
      </w:r>
    </w:p>
    <w:p w:rsidR="009945FE" w:rsidRPr="0022129C" w:rsidRDefault="009945FE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>б) предоставление информации о количестве и иных параметрах электрической энергии;</w:t>
      </w:r>
    </w:p>
    <w:p w:rsidR="009945FE" w:rsidRPr="0022129C" w:rsidRDefault="009945FE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>в) полное и (или) частичное ограничение режима потребления электрической энергии (приостановление или ограничение предоставления коммунальной услуги), а также возобновление подачи электрической энергии;</w:t>
      </w:r>
    </w:p>
    <w:p w:rsidR="009945FE" w:rsidRPr="0022129C" w:rsidRDefault="009945FE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>г) установление и изменение зон суток (часов, дней недели, месяцев), по которым прибором учета электрической энергии, присоединенным к интеллектуальной системе учета, осуществляется суммирование объемов электрической энергии в соответствии с дифференциацией тарифов (цен), предусмотренной законодательством Российской Федерации (далее - тарифные зоны);</w:t>
      </w:r>
    </w:p>
    <w:p w:rsidR="009945FE" w:rsidRPr="0022129C" w:rsidRDefault="009945FE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>д) передача данных о параметрах настройки и событиях, зафиксированных прибором учета электрической энергии, присоединенным к интеллектуальной системе учета;</w:t>
      </w:r>
    </w:p>
    <w:p w:rsidR="009945FE" w:rsidRPr="0022129C" w:rsidRDefault="009945FE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>е) передача справочной информации;</w:t>
      </w:r>
    </w:p>
    <w:p w:rsidR="009945FE" w:rsidRPr="0022129C" w:rsidRDefault="009945FE" w:rsidP="001B39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>ж) передача архива данных;</w:t>
      </w:r>
    </w:p>
    <w:p w:rsidR="007B381D" w:rsidRDefault="009945FE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 xml:space="preserve">з) оповещение о возможных недостоверных данных, поступающих с приборов учета в случае срабатывания индикаторов вскрытия электронных пломб на корпусе и </w:t>
      </w:r>
      <w:proofErr w:type="spellStart"/>
      <w:r w:rsidRPr="0022129C">
        <w:rPr>
          <w:color w:val="0D0D0D" w:themeColor="text1" w:themeTint="F2"/>
        </w:rPr>
        <w:t>клеммной</w:t>
      </w:r>
      <w:proofErr w:type="spellEnd"/>
      <w:r w:rsidRPr="0022129C">
        <w:rPr>
          <w:color w:val="0D0D0D" w:themeColor="text1" w:themeTint="F2"/>
        </w:rPr>
        <w:t xml:space="preserve"> крышке прибора учета, воздействия магнитным полем на элементы прибора учета, неработоспособности прибора учета вследствие аппаратного или программного сбоя, его отключения (после пов</w:t>
      </w:r>
      <w:r w:rsidR="00D2731C">
        <w:rPr>
          <w:color w:val="0D0D0D" w:themeColor="text1" w:themeTint="F2"/>
        </w:rPr>
        <w:t>торного включения), перезагрузки [1].</w:t>
      </w:r>
    </w:p>
    <w:p w:rsidR="00491C26" w:rsidRDefault="00491C26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Соответствующие этим характеристикам приборы учета должны быть допущены в эксплуатацию, а также переданы застройщиком гарантирующему поставщику, в зоне </w:t>
      </w:r>
      <w:r>
        <w:rPr>
          <w:color w:val="0D0D0D" w:themeColor="text1" w:themeTint="F2"/>
        </w:rPr>
        <w:lastRenderedPageBreak/>
        <w:t>деятельности которого расположен МКД</w:t>
      </w:r>
      <w:r>
        <w:rPr>
          <w:rStyle w:val="ad"/>
          <w:color w:val="0D0D0D" w:themeColor="text1" w:themeTint="F2"/>
        </w:rPr>
        <w:footnoteReference w:id="2"/>
      </w:r>
      <w:r>
        <w:rPr>
          <w:color w:val="0D0D0D" w:themeColor="text1" w:themeTint="F2"/>
        </w:rPr>
        <w:t xml:space="preserve">. Важно, что выполнить эти мероприятия необходимо до того, как дом будет сдан в эксплуатацию. Иными словами, с 1 января 2021 года ввести многоквартирный дом в эксплуатацию без документов, подтверждающих факт передачи общедомовых и индивидуальных приборов учета электрической энергии </w:t>
      </w:r>
      <w:r w:rsidR="00F511A2">
        <w:rPr>
          <w:color w:val="0D0D0D" w:themeColor="text1" w:themeTint="F2"/>
        </w:rPr>
        <w:t>на облуживание</w:t>
      </w:r>
      <w:r>
        <w:rPr>
          <w:color w:val="0D0D0D" w:themeColor="text1" w:themeTint="F2"/>
        </w:rPr>
        <w:t xml:space="preserve"> гарантирующему поставщику, будет нельзя</w:t>
      </w:r>
      <w:r w:rsidR="00CE579F">
        <w:rPr>
          <w:color w:val="0D0D0D" w:themeColor="text1" w:themeTint="F2"/>
        </w:rPr>
        <w:t xml:space="preserve"> </w:t>
      </w:r>
      <w:r w:rsidR="00CE579F" w:rsidRPr="00CE579F">
        <w:rPr>
          <w:color w:val="0D0D0D" w:themeColor="text1" w:themeTint="F2"/>
        </w:rPr>
        <w:t>[</w:t>
      </w:r>
      <w:r w:rsidR="00CE579F">
        <w:rPr>
          <w:color w:val="0D0D0D" w:themeColor="text1" w:themeTint="F2"/>
        </w:rPr>
        <w:t>2</w:t>
      </w:r>
      <w:r w:rsidR="00CE579F" w:rsidRPr="00CE579F">
        <w:rPr>
          <w:color w:val="0D0D0D" w:themeColor="text1" w:themeTint="F2"/>
        </w:rPr>
        <w:t>]</w:t>
      </w:r>
      <w:r>
        <w:rPr>
          <w:color w:val="0D0D0D" w:themeColor="text1" w:themeTint="F2"/>
        </w:rPr>
        <w:t xml:space="preserve">. </w:t>
      </w:r>
    </w:p>
    <w:p w:rsidR="008C0117" w:rsidRDefault="00F511A2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Современные требования законодательства направлены на планомерный, постепенный и полный переход всех участников розничного рынка электроэнергии на интеллектуальный учет, который в минимальной степени за</w:t>
      </w:r>
      <w:r w:rsidR="008C0117">
        <w:rPr>
          <w:color w:val="0D0D0D" w:themeColor="text1" w:themeTint="F2"/>
        </w:rPr>
        <w:t xml:space="preserve">висит от внешних обстоятельств и человеческого фактора, но позволяет повысить точность измерения ресурса, а, следовательно, и расчетов с потребителями. </w:t>
      </w:r>
    </w:p>
    <w:p w:rsidR="008C0117" w:rsidRDefault="008C0117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Благодаря единовременной передаче показаний по всем индивидуальным приборам учета </w:t>
      </w:r>
      <w:r w:rsidR="00F84EB5">
        <w:rPr>
          <w:color w:val="0D0D0D" w:themeColor="text1" w:themeTint="F2"/>
        </w:rPr>
        <w:t xml:space="preserve">возможность перехода к начислениям, основанным на данных о среднемесячном потреблении за предыдущие периоды, ничтожно мала. Соответственно, отношения между гарантирующим поставщиком и потребителями становятся </w:t>
      </w:r>
      <w:r w:rsidR="006B679B">
        <w:rPr>
          <w:color w:val="0D0D0D" w:themeColor="text1" w:themeTint="F2"/>
        </w:rPr>
        <w:t>менее напряженными</w:t>
      </w:r>
      <w:r w:rsidR="00F84EB5">
        <w:rPr>
          <w:color w:val="0D0D0D" w:themeColor="text1" w:themeTint="F2"/>
        </w:rPr>
        <w:t xml:space="preserve">. Особенно важен </w:t>
      </w:r>
      <w:r w:rsidR="00DB3638">
        <w:rPr>
          <w:color w:val="0D0D0D" w:themeColor="text1" w:themeTint="F2"/>
        </w:rPr>
        <w:t xml:space="preserve">этот аспект </w:t>
      </w:r>
      <w:r w:rsidR="00F84EB5">
        <w:rPr>
          <w:color w:val="0D0D0D" w:themeColor="text1" w:themeTint="F2"/>
        </w:rPr>
        <w:t>в части начисления платы за ОДН</w:t>
      </w:r>
      <w:r w:rsidR="00F84EB5">
        <w:rPr>
          <w:rStyle w:val="ad"/>
          <w:color w:val="0D0D0D" w:themeColor="text1" w:themeTint="F2"/>
        </w:rPr>
        <w:footnoteReference w:id="3"/>
      </w:r>
      <w:r w:rsidR="00F84EB5">
        <w:rPr>
          <w:color w:val="0D0D0D" w:themeColor="text1" w:themeTint="F2"/>
        </w:rPr>
        <w:t xml:space="preserve">. </w:t>
      </w:r>
    </w:p>
    <w:p w:rsidR="00F84EB5" w:rsidRPr="0022129C" w:rsidRDefault="00F511A2" w:rsidP="00F84EB5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0D0D0D" w:themeColor="text1" w:themeTint="F2"/>
          <w:sz w:val="24"/>
          <w:szCs w:val="24"/>
        </w:rPr>
      </w:pPr>
      <w:r>
        <w:rPr>
          <w:color w:val="0D0D0D" w:themeColor="text1" w:themeTint="F2"/>
        </w:rPr>
        <w:t xml:space="preserve"> </w:t>
      </w:r>
      <w:r w:rsidR="00F84EB5" w:rsidRPr="0022129C">
        <w:rPr>
          <w:b w:val="0"/>
          <w:color w:val="0D0D0D" w:themeColor="text1" w:themeTint="F2"/>
          <w:sz w:val="24"/>
          <w:szCs w:val="24"/>
        </w:rPr>
        <w:t xml:space="preserve">Исторически начисления за </w:t>
      </w:r>
      <w:r w:rsidR="00F84EB5">
        <w:rPr>
          <w:b w:val="0"/>
          <w:color w:val="0D0D0D" w:themeColor="text1" w:themeTint="F2"/>
          <w:sz w:val="24"/>
          <w:szCs w:val="24"/>
        </w:rPr>
        <w:t>общедомовые нужды</w:t>
      </w:r>
      <w:r w:rsidR="00280755">
        <w:rPr>
          <w:b w:val="0"/>
          <w:color w:val="0D0D0D" w:themeColor="text1" w:themeTint="F2"/>
          <w:sz w:val="24"/>
          <w:szCs w:val="24"/>
        </w:rPr>
        <w:t xml:space="preserve"> были </w:t>
      </w:r>
      <w:r w:rsidR="00C95A16" w:rsidRPr="00550616">
        <w:rPr>
          <w:b w:val="0"/>
          <w:color w:val="0D0D0D" w:themeColor="text1" w:themeTint="F2"/>
          <w:sz w:val="24"/>
          <w:szCs w:val="24"/>
        </w:rPr>
        <w:t>болезненной</w:t>
      </w:r>
      <w:r w:rsidR="00F84EB5" w:rsidRPr="0022129C">
        <w:rPr>
          <w:b w:val="0"/>
          <w:color w:val="0D0D0D" w:themeColor="text1" w:themeTint="F2"/>
          <w:sz w:val="24"/>
          <w:szCs w:val="24"/>
        </w:rPr>
        <w:t xml:space="preserve"> темой для жителей многоквартирных домов. Несмотря на активную информационную работу, </w:t>
      </w:r>
      <w:r w:rsidR="00C95A16">
        <w:rPr>
          <w:b w:val="0"/>
          <w:color w:val="0D0D0D" w:themeColor="text1" w:themeTint="F2"/>
          <w:sz w:val="24"/>
          <w:szCs w:val="24"/>
        </w:rPr>
        <w:t xml:space="preserve">среди них </w:t>
      </w:r>
      <w:r w:rsidR="00F84EB5" w:rsidRPr="0022129C">
        <w:rPr>
          <w:b w:val="0"/>
          <w:color w:val="0D0D0D" w:themeColor="text1" w:themeTint="F2"/>
          <w:sz w:val="24"/>
          <w:szCs w:val="24"/>
        </w:rPr>
        <w:t>до сих пор распространено мнение, что общедомовые нужды – это освещение в подъезде и распределение начислений, которые не оплачены должниками, на всех жильцов МКД. Обеспечение электроэнергией подвальных и чердачных помещений, внутридомовых котельных, лифтового хозяйства, работы насосов, поднимающих воду на верхние этажи, телевизионных тарелок, функционирования распределительных устройств, расположенных в доме</w:t>
      </w:r>
      <w:r w:rsidR="00C95A16">
        <w:rPr>
          <w:b w:val="0"/>
          <w:color w:val="0D0D0D" w:themeColor="text1" w:themeTint="F2"/>
          <w:sz w:val="24"/>
          <w:szCs w:val="24"/>
        </w:rPr>
        <w:t>, а также</w:t>
      </w:r>
      <w:r w:rsidR="000E491D">
        <w:rPr>
          <w:b w:val="0"/>
          <w:color w:val="0D0D0D" w:themeColor="text1" w:themeTint="F2"/>
          <w:sz w:val="24"/>
          <w:szCs w:val="24"/>
        </w:rPr>
        <w:t xml:space="preserve"> </w:t>
      </w:r>
      <w:r w:rsidR="000E491D" w:rsidRPr="00BF0B71">
        <w:rPr>
          <w:b w:val="0"/>
          <w:color w:val="0D0D0D" w:themeColor="text1" w:themeTint="F2"/>
          <w:sz w:val="24"/>
          <w:szCs w:val="24"/>
        </w:rPr>
        <w:t>неизбежные</w:t>
      </w:r>
      <w:r w:rsidR="00C95A16" w:rsidRPr="00BF0B71">
        <w:rPr>
          <w:b w:val="0"/>
          <w:color w:val="0D0D0D" w:themeColor="text1" w:themeTint="F2"/>
          <w:sz w:val="24"/>
          <w:szCs w:val="24"/>
        </w:rPr>
        <w:t xml:space="preserve"> технологические потери, связанные с процессом передачи электроэнергии</w:t>
      </w:r>
      <w:r w:rsidR="000E491D" w:rsidRPr="00BF0B71">
        <w:rPr>
          <w:b w:val="0"/>
          <w:color w:val="0D0D0D" w:themeColor="text1" w:themeTint="F2"/>
          <w:sz w:val="24"/>
          <w:szCs w:val="24"/>
        </w:rPr>
        <w:t xml:space="preserve"> по внутридомовым электрическим сетям</w:t>
      </w:r>
      <w:r w:rsidR="00C95A16" w:rsidRPr="00BF0B71">
        <w:rPr>
          <w:b w:val="0"/>
          <w:color w:val="0D0D0D" w:themeColor="text1" w:themeTint="F2"/>
          <w:sz w:val="24"/>
          <w:szCs w:val="24"/>
        </w:rPr>
        <w:t xml:space="preserve"> </w:t>
      </w:r>
      <w:r w:rsidR="000E491D" w:rsidRPr="00BF0B71">
        <w:rPr>
          <w:b w:val="0"/>
          <w:color w:val="0D0D0D" w:themeColor="text1" w:themeTint="F2"/>
          <w:sz w:val="24"/>
          <w:szCs w:val="24"/>
        </w:rPr>
        <w:t>в каждую</w:t>
      </w:r>
      <w:r w:rsidR="00A1786C" w:rsidRPr="00BF0B71">
        <w:rPr>
          <w:b w:val="0"/>
          <w:color w:val="0D0D0D" w:themeColor="text1" w:themeTint="F2"/>
          <w:sz w:val="24"/>
          <w:szCs w:val="24"/>
        </w:rPr>
        <w:t xml:space="preserve"> </w:t>
      </w:r>
      <w:r w:rsidR="000E491D" w:rsidRPr="00BF0B71">
        <w:rPr>
          <w:b w:val="0"/>
          <w:color w:val="0D0D0D" w:themeColor="text1" w:themeTint="F2"/>
          <w:sz w:val="24"/>
          <w:szCs w:val="24"/>
        </w:rPr>
        <w:t>квартиру</w:t>
      </w:r>
      <w:r w:rsidR="00F84EB5" w:rsidRPr="0022129C">
        <w:rPr>
          <w:b w:val="0"/>
          <w:color w:val="0D0D0D" w:themeColor="text1" w:themeTint="F2"/>
          <w:sz w:val="24"/>
          <w:szCs w:val="24"/>
        </w:rPr>
        <w:t xml:space="preserve"> – не находят своего отражения в формировании понятия ОДН в сознании граждан. А </w:t>
      </w:r>
      <w:r w:rsidR="00D56E26" w:rsidRPr="00BF0B71">
        <w:rPr>
          <w:b w:val="0"/>
          <w:color w:val="0D0D0D" w:themeColor="text1" w:themeTint="F2"/>
          <w:sz w:val="24"/>
          <w:szCs w:val="24"/>
        </w:rPr>
        <w:t xml:space="preserve">значительные </w:t>
      </w:r>
      <w:r w:rsidR="00A1786C" w:rsidRPr="00BF0B71">
        <w:rPr>
          <w:b w:val="0"/>
          <w:color w:val="0D0D0D" w:themeColor="text1" w:themeTint="F2"/>
          <w:sz w:val="24"/>
          <w:szCs w:val="24"/>
        </w:rPr>
        <w:t>колебания уровня ОДН от месяца к месяцу</w:t>
      </w:r>
      <w:r w:rsidR="00A1786C">
        <w:rPr>
          <w:b w:val="0"/>
          <w:color w:val="0D0D0D" w:themeColor="text1" w:themeTint="F2"/>
          <w:sz w:val="24"/>
          <w:szCs w:val="24"/>
        </w:rPr>
        <w:t>, вызванные</w:t>
      </w:r>
      <w:r w:rsidR="00F84EB5" w:rsidRPr="0022129C">
        <w:rPr>
          <w:b w:val="0"/>
          <w:color w:val="0D0D0D" w:themeColor="text1" w:themeTint="F2"/>
          <w:sz w:val="24"/>
          <w:szCs w:val="24"/>
        </w:rPr>
        <w:t xml:space="preserve"> несогласованностью в снятии показаний индивидуальных при</w:t>
      </w:r>
      <w:r w:rsidR="00A1786C">
        <w:rPr>
          <w:b w:val="0"/>
          <w:color w:val="0D0D0D" w:themeColor="text1" w:themeTint="F2"/>
          <w:sz w:val="24"/>
          <w:szCs w:val="24"/>
        </w:rPr>
        <w:t>боров учета, еще больше усиливаю</w:t>
      </w:r>
      <w:r w:rsidR="00F84EB5" w:rsidRPr="0022129C">
        <w:rPr>
          <w:b w:val="0"/>
          <w:color w:val="0D0D0D" w:themeColor="text1" w:themeTint="F2"/>
          <w:sz w:val="24"/>
          <w:szCs w:val="24"/>
        </w:rPr>
        <w:t xml:space="preserve">т недовольство </w:t>
      </w:r>
      <w:r w:rsidR="00A1786C">
        <w:rPr>
          <w:b w:val="0"/>
          <w:color w:val="0D0D0D" w:themeColor="text1" w:themeTint="F2"/>
          <w:sz w:val="24"/>
          <w:szCs w:val="24"/>
        </w:rPr>
        <w:t>граждан</w:t>
      </w:r>
      <w:r w:rsidR="00F84EB5" w:rsidRPr="0022129C">
        <w:rPr>
          <w:b w:val="0"/>
          <w:color w:val="0D0D0D" w:themeColor="text1" w:themeTint="F2"/>
          <w:sz w:val="24"/>
          <w:szCs w:val="24"/>
        </w:rPr>
        <w:t xml:space="preserve">. </w:t>
      </w:r>
    </w:p>
    <w:p w:rsidR="00F84EB5" w:rsidRPr="0022129C" w:rsidRDefault="00F84EB5" w:rsidP="00F84EB5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0D0D0D" w:themeColor="text1" w:themeTint="F2"/>
          <w:sz w:val="24"/>
          <w:szCs w:val="24"/>
        </w:rPr>
      </w:pPr>
      <w:r w:rsidRPr="0022129C">
        <w:rPr>
          <w:b w:val="0"/>
          <w:color w:val="0D0D0D" w:themeColor="text1" w:themeTint="F2"/>
          <w:sz w:val="24"/>
          <w:szCs w:val="24"/>
        </w:rPr>
        <w:t>Вспомним, как рассчитывается объем электроэнергии, который впоследствии распределяется на домохозяйства пропорционально площади каждого из них. Объем электроэнергии, предоставленный на ОДН – это разница между общедомовым потреблением и суммой расходов электроэнергии, потребленной в жилых</w:t>
      </w:r>
      <w:r>
        <w:rPr>
          <w:b w:val="0"/>
          <w:color w:val="0D0D0D" w:themeColor="text1" w:themeTint="F2"/>
          <w:sz w:val="24"/>
          <w:szCs w:val="24"/>
        </w:rPr>
        <w:t xml:space="preserve"> и нежилых</w:t>
      </w:r>
      <w:r w:rsidRPr="0022129C">
        <w:rPr>
          <w:b w:val="0"/>
          <w:color w:val="0D0D0D" w:themeColor="text1" w:themeTint="F2"/>
          <w:sz w:val="24"/>
          <w:szCs w:val="24"/>
        </w:rPr>
        <w:t xml:space="preserve"> помещениях. </w:t>
      </w:r>
    </w:p>
    <w:p w:rsidR="00F84EB5" w:rsidRDefault="00F84EB5" w:rsidP="00F84E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 xml:space="preserve">Решением проблемы резко неравномерных начислений за ОДН может стать единовременное снятие показаний во всех квартирах МКД.  </w:t>
      </w:r>
      <w:r w:rsidR="00A1786C" w:rsidRPr="00BF0B71">
        <w:rPr>
          <w:color w:val="0D0D0D" w:themeColor="text1" w:themeTint="F2"/>
        </w:rPr>
        <w:t xml:space="preserve">В </w:t>
      </w:r>
      <w:r w:rsidR="00C00CA5" w:rsidRPr="00BF0B71">
        <w:rPr>
          <w:color w:val="0D0D0D" w:themeColor="text1" w:themeTint="F2"/>
        </w:rPr>
        <w:t xml:space="preserve">некоторых </w:t>
      </w:r>
      <w:r w:rsidR="00A1786C" w:rsidRPr="00BF0B71">
        <w:rPr>
          <w:color w:val="0D0D0D" w:themeColor="text1" w:themeTint="F2"/>
        </w:rPr>
        <w:t xml:space="preserve">домах, где </w:t>
      </w:r>
      <w:r w:rsidR="00C00CA5" w:rsidRPr="00BF0B71">
        <w:rPr>
          <w:color w:val="0D0D0D" w:themeColor="text1" w:themeTint="F2"/>
        </w:rPr>
        <w:t xml:space="preserve">не установлены интеллектуальные системы </w:t>
      </w:r>
      <w:r w:rsidR="00A1786C" w:rsidRPr="00BF0B71">
        <w:rPr>
          <w:color w:val="0D0D0D" w:themeColor="text1" w:themeTint="F2"/>
        </w:rPr>
        <w:t>учет</w:t>
      </w:r>
      <w:r w:rsidR="00C00CA5" w:rsidRPr="00BF0B71">
        <w:rPr>
          <w:color w:val="0D0D0D" w:themeColor="text1" w:themeTint="F2"/>
        </w:rPr>
        <w:t xml:space="preserve">а, потребность в контроле за формированием объема электроэнергии, предоставленного на общедомовые нужды, породила новое социальное явление – объединение жильцов в инициативные группы, которые берут на себя задачу по сбору и передаче показаний всех индивидуальных приборов учета МКД </w:t>
      </w:r>
      <w:r w:rsidR="00EE2CD0" w:rsidRPr="00BF0B71">
        <w:rPr>
          <w:color w:val="0D0D0D" w:themeColor="text1" w:themeTint="F2"/>
        </w:rPr>
        <w:t>и даже социальную работу с неплательщиками</w:t>
      </w:r>
      <w:r w:rsidR="00A1786C" w:rsidRPr="00BF0B71">
        <w:rPr>
          <w:color w:val="0D0D0D" w:themeColor="text1" w:themeTint="F2"/>
        </w:rPr>
        <w:t xml:space="preserve">. </w:t>
      </w:r>
      <w:r w:rsidR="00E4284D" w:rsidRPr="00BF0B71">
        <w:rPr>
          <w:color w:val="0D0D0D" w:themeColor="text1" w:themeTint="F2"/>
        </w:rPr>
        <w:t>В</w:t>
      </w:r>
      <w:r w:rsidR="000E491D" w:rsidRPr="00BF0B71">
        <w:rPr>
          <w:color w:val="0D0D0D" w:themeColor="text1" w:themeTint="F2"/>
        </w:rPr>
        <w:t>о вновь построенных</w:t>
      </w:r>
      <w:r w:rsidRPr="00BF0B71">
        <w:rPr>
          <w:color w:val="0D0D0D" w:themeColor="text1" w:themeTint="F2"/>
        </w:rPr>
        <w:t xml:space="preserve"> </w:t>
      </w:r>
      <w:r w:rsidR="00E4284D" w:rsidRPr="00BF0B71">
        <w:rPr>
          <w:color w:val="0D0D0D" w:themeColor="text1" w:themeTint="F2"/>
        </w:rPr>
        <w:t>многоквартирных домах, которые будут вводиться в эксплуатацию начиная с 2021 года,</w:t>
      </w:r>
      <w:r w:rsidR="000E491D" w:rsidRPr="00BF0B71">
        <w:rPr>
          <w:color w:val="0D0D0D" w:themeColor="text1" w:themeTint="F2"/>
        </w:rPr>
        <w:t xml:space="preserve"> поводов для столь высокой общественной активности граждан уже</w:t>
      </w:r>
      <w:r w:rsidR="00E4284D" w:rsidRPr="00BF0B71">
        <w:rPr>
          <w:color w:val="0D0D0D" w:themeColor="text1" w:themeTint="F2"/>
        </w:rPr>
        <w:t xml:space="preserve"> </w:t>
      </w:r>
      <w:r w:rsidR="00EE2CD0" w:rsidRPr="00BF0B71">
        <w:rPr>
          <w:color w:val="0D0D0D" w:themeColor="text1" w:themeTint="F2"/>
        </w:rPr>
        <w:t>не</w:t>
      </w:r>
      <w:r w:rsidR="00B367D2" w:rsidRPr="00BF0B71">
        <w:rPr>
          <w:color w:val="0D0D0D" w:themeColor="text1" w:themeTint="F2"/>
        </w:rPr>
        <w:t xml:space="preserve"> </w:t>
      </w:r>
      <w:r w:rsidR="00BF0B71" w:rsidRPr="00BF0B71">
        <w:rPr>
          <w:color w:val="0D0D0D" w:themeColor="text1" w:themeTint="F2"/>
        </w:rPr>
        <w:t>возникнет</w:t>
      </w:r>
      <w:r w:rsidR="007219D4" w:rsidRPr="00BF0B71">
        <w:rPr>
          <w:color w:val="0D0D0D" w:themeColor="text1" w:themeTint="F2"/>
        </w:rPr>
        <w:t>:</w:t>
      </w:r>
      <w:r w:rsidR="00D56E26" w:rsidRPr="00BF0B71">
        <w:rPr>
          <w:color w:val="0D0D0D" w:themeColor="text1" w:themeTint="F2"/>
        </w:rPr>
        <w:t xml:space="preserve"> </w:t>
      </w:r>
      <w:r w:rsidR="00B367D2" w:rsidRPr="00BF0B71">
        <w:rPr>
          <w:color w:val="0D0D0D" w:themeColor="text1" w:themeTint="F2"/>
        </w:rPr>
        <w:t>передач</w:t>
      </w:r>
      <w:r w:rsidR="00D56E26" w:rsidRPr="00BF0B71">
        <w:rPr>
          <w:color w:val="0D0D0D" w:themeColor="text1" w:themeTint="F2"/>
        </w:rPr>
        <w:t>а</w:t>
      </w:r>
      <w:r w:rsidR="00B367D2" w:rsidRPr="00BF0B71">
        <w:rPr>
          <w:color w:val="0D0D0D" w:themeColor="text1" w:themeTint="F2"/>
        </w:rPr>
        <w:t xml:space="preserve"> показаний приборов учета будет выполняться автоматически – посредством АИИСКУЭ</w:t>
      </w:r>
      <w:r w:rsidR="00B367D2" w:rsidRPr="00BF0B71">
        <w:rPr>
          <w:rStyle w:val="ad"/>
          <w:color w:val="0D0D0D" w:themeColor="text1" w:themeTint="F2"/>
        </w:rPr>
        <w:footnoteReference w:id="4"/>
      </w:r>
      <w:r w:rsidRPr="00BF0B71">
        <w:rPr>
          <w:color w:val="0D0D0D" w:themeColor="text1" w:themeTint="F2"/>
        </w:rPr>
        <w:t>.</w:t>
      </w:r>
      <w:r w:rsidRPr="0022129C">
        <w:rPr>
          <w:color w:val="0D0D0D" w:themeColor="text1" w:themeTint="F2"/>
        </w:rPr>
        <w:t xml:space="preserve"> </w:t>
      </w:r>
    </w:p>
    <w:p w:rsidR="00E8145E" w:rsidRPr="0022129C" w:rsidRDefault="00E8145E" w:rsidP="00E8145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 xml:space="preserve">Сбор </w:t>
      </w:r>
      <w:r>
        <w:rPr>
          <w:color w:val="0D0D0D" w:themeColor="text1" w:themeTint="F2"/>
        </w:rPr>
        <w:t>сведений</w:t>
      </w:r>
      <w:r w:rsidRPr="0022129C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с помощью интеллектуального учета </w:t>
      </w:r>
      <w:r w:rsidRPr="0022129C">
        <w:rPr>
          <w:color w:val="0D0D0D" w:themeColor="text1" w:themeTint="F2"/>
        </w:rPr>
        <w:t xml:space="preserve">осуществляется одномоментно. </w:t>
      </w:r>
      <w:r w:rsidRPr="00BF0B71">
        <w:rPr>
          <w:color w:val="0D0D0D" w:themeColor="text1" w:themeTint="F2"/>
        </w:rPr>
        <w:t xml:space="preserve">С портала передачи данных информация выгружается в </w:t>
      </w:r>
      <w:r w:rsidR="004F479D" w:rsidRPr="00BF0B71">
        <w:rPr>
          <w:color w:val="0D0D0D" w:themeColor="text1" w:themeTint="F2"/>
        </w:rPr>
        <w:t xml:space="preserve">транспортный </w:t>
      </w:r>
      <w:r w:rsidRPr="00BF0B71">
        <w:rPr>
          <w:color w:val="0D0D0D" w:themeColor="text1" w:themeTint="F2"/>
        </w:rPr>
        <w:t xml:space="preserve">файл </w:t>
      </w:r>
      <w:r w:rsidR="004F479D" w:rsidRPr="00BF0B71">
        <w:rPr>
          <w:color w:val="0D0D0D" w:themeColor="text1" w:themeTint="F2"/>
        </w:rPr>
        <w:t xml:space="preserve">установленного формата и </w:t>
      </w:r>
      <w:r w:rsidRPr="00BF0B71">
        <w:rPr>
          <w:color w:val="0D0D0D" w:themeColor="text1" w:themeTint="F2"/>
        </w:rPr>
        <w:t>уже в таком виде направляется</w:t>
      </w:r>
      <w:r w:rsidR="00AC745A" w:rsidRPr="00BF0B71">
        <w:rPr>
          <w:color w:val="0D0D0D" w:themeColor="text1" w:themeTint="F2"/>
        </w:rPr>
        <w:t xml:space="preserve"> в</w:t>
      </w:r>
      <w:r w:rsidRPr="00BF0B71">
        <w:rPr>
          <w:color w:val="0D0D0D" w:themeColor="text1" w:themeTint="F2"/>
        </w:rPr>
        <w:t xml:space="preserve"> </w:t>
      </w:r>
      <w:proofErr w:type="spellStart"/>
      <w:r w:rsidR="004F479D" w:rsidRPr="00BF0B71">
        <w:rPr>
          <w:color w:val="0D0D0D" w:themeColor="text1" w:themeTint="F2"/>
        </w:rPr>
        <w:t>э</w:t>
      </w:r>
      <w:r w:rsidR="00FA2959" w:rsidRPr="00BF0B71">
        <w:rPr>
          <w:color w:val="0D0D0D" w:themeColor="text1" w:themeTint="F2"/>
        </w:rPr>
        <w:t>нергосбытовую</w:t>
      </w:r>
      <w:proofErr w:type="spellEnd"/>
      <w:r w:rsidR="00D56E26" w:rsidRPr="00BF0B71">
        <w:rPr>
          <w:rStyle w:val="ad"/>
          <w:color w:val="0D0D0D" w:themeColor="text1" w:themeTint="F2"/>
        </w:rPr>
        <w:footnoteReference w:id="5"/>
      </w:r>
      <w:r w:rsidR="00FA2959" w:rsidRPr="00BF0B71">
        <w:rPr>
          <w:color w:val="0D0D0D" w:themeColor="text1" w:themeTint="F2"/>
        </w:rPr>
        <w:t xml:space="preserve"> компанию</w:t>
      </w:r>
      <w:r w:rsidRPr="00BF0B71">
        <w:rPr>
          <w:color w:val="0D0D0D" w:themeColor="text1" w:themeTint="F2"/>
        </w:rPr>
        <w:t>, котор</w:t>
      </w:r>
      <w:r w:rsidR="00FA2959" w:rsidRPr="00BF0B71">
        <w:rPr>
          <w:color w:val="0D0D0D" w:themeColor="text1" w:themeTint="F2"/>
        </w:rPr>
        <w:t>ая</w:t>
      </w:r>
      <w:r w:rsidRPr="00BF0B71">
        <w:rPr>
          <w:color w:val="0D0D0D" w:themeColor="text1" w:themeTint="F2"/>
        </w:rPr>
        <w:t xml:space="preserve"> производит расчеты.</w:t>
      </w:r>
      <w:r w:rsidRPr="0022129C">
        <w:rPr>
          <w:color w:val="0D0D0D" w:themeColor="text1" w:themeTint="F2"/>
        </w:rPr>
        <w:t xml:space="preserve"> </w:t>
      </w:r>
    </w:p>
    <w:p w:rsidR="00E8145E" w:rsidRDefault="00E8145E" w:rsidP="00F84E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</w:p>
    <w:p w:rsidR="00E8145E" w:rsidRDefault="00E8145E" w:rsidP="00357176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color w:val="0D0D0D" w:themeColor="text1" w:themeTint="F2"/>
        </w:rPr>
      </w:pPr>
      <w:r w:rsidRPr="0022129C">
        <w:rPr>
          <w:noProof/>
          <w:color w:val="0D0D0D" w:themeColor="text1" w:themeTint="F2"/>
        </w:rPr>
        <w:drawing>
          <wp:inline distT="0" distB="0" distL="0" distR="0">
            <wp:extent cx="5442125" cy="2674943"/>
            <wp:effectExtent l="19050" t="0" r="6175" b="0"/>
            <wp:docPr id="1" name="Рисунок 1" descr="C:\Users\sokolova_evi\Desktop\2020\ноябрь\аскуэ кварти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kolova_evi\Desktop\2020\ноябрь\аскуэ квартиры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314" cy="267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45E" w:rsidRPr="007219D4" w:rsidRDefault="00E8145E" w:rsidP="00E8145E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i/>
          <w:color w:val="0D0D0D" w:themeColor="text1" w:themeTint="F2"/>
        </w:rPr>
      </w:pPr>
      <w:r>
        <w:rPr>
          <w:i/>
          <w:color w:val="0D0D0D" w:themeColor="text1" w:themeTint="F2"/>
        </w:rPr>
        <w:t>Р</w:t>
      </w:r>
      <w:r w:rsidRPr="0022129C">
        <w:rPr>
          <w:i/>
          <w:color w:val="0D0D0D" w:themeColor="text1" w:themeTint="F2"/>
        </w:rPr>
        <w:t xml:space="preserve">ис. </w:t>
      </w:r>
      <w:r>
        <w:rPr>
          <w:i/>
          <w:color w:val="0D0D0D" w:themeColor="text1" w:themeTint="F2"/>
        </w:rPr>
        <w:t>1</w:t>
      </w:r>
      <w:r w:rsidRPr="0022129C">
        <w:rPr>
          <w:i/>
          <w:color w:val="0D0D0D" w:themeColor="text1" w:themeTint="F2"/>
        </w:rPr>
        <w:t xml:space="preserve"> Выгрузка из АИИСКУЭ </w:t>
      </w:r>
      <w:r w:rsidR="007219D4">
        <w:rPr>
          <w:i/>
          <w:color w:val="0D0D0D" w:themeColor="text1" w:themeTint="F2"/>
        </w:rPr>
        <w:t>(</w:t>
      </w:r>
      <w:r w:rsidRPr="0022129C">
        <w:rPr>
          <w:i/>
          <w:color w:val="0D0D0D" w:themeColor="text1" w:themeTint="F2"/>
          <w:lang w:val="en-US"/>
        </w:rPr>
        <w:t>Excel</w:t>
      </w:r>
      <w:r w:rsidR="007219D4">
        <w:rPr>
          <w:i/>
          <w:color w:val="0D0D0D" w:themeColor="text1" w:themeTint="F2"/>
        </w:rPr>
        <w:t>)</w:t>
      </w:r>
    </w:p>
    <w:p w:rsidR="00E8145E" w:rsidRPr="0022129C" w:rsidRDefault="00E8145E" w:rsidP="00E8145E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D0D0D" w:themeColor="text1" w:themeTint="F2"/>
        </w:rPr>
      </w:pPr>
    </w:p>
    <w:p w:rsidR="00F84EB5" w:rsidRDefault="00F84EB5" w:rsidP="00F84E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>Ниже представлен пример для расчета ОДН в двух домах. В одном из них установлена АИИСКУЭ, а в другом показани</w:t>
      </w:r>
      <w:r w:rsidR="007219D4">
        <w:rPr>
          <w:color w:val="0D0D0D" w:themeColor="text1" w:themeTint="F2"/>
        </w:rPr>
        <w:t>я</w:t>
      </w:r>
      <w:r w:rsidRPr="0022129C">
        <w:rPr>
          <w:color w:val="0D0D0D" w:themeColor="text1" w:themeTint="F2"/>
        </w:rPr>
        <w:t xml:space="preserve"> индивидуальных приборов учета электроэнергии </w:t>
      </w:r>
      <w:r w:rsidR="007219D4">
        <w:rPr>
          <w:color w:val="0D0D0D" w:themeColor="text1" w:themeTint="F2"/>
        </w:rPr>
        <w:t>получены</w:t>
      </w:r>
      <w:r w:rsidRPr="0022129C">
        <w:rPr>
          <w:color w:val="0D0D0D" w:themeColor="text1" w:themeTint="F2"/>
        </w:rPr>
        <w:t xml:space="preserve"> </w:t>
      </w:r>
      <w:r w:rsidR="007219D4">
        <w:rPr>
          <w:color w:val="0D0D0D" w:themeColor="text1" w:themeTint="F2"/>
        </w:rPr>
        <w:t>от жильцов</w:t>
      </w:r>
      <w:r w:rsidRPr="0022129C">
        <w:rPr>
          <w:color w:val="0D0D0D" w:themeColor="text1" w:themeTint="F2"/>
        </w:rPr>
        <w:t xml:space="preserve"> (инициативной группы нет). Дома сопоставимы по площади, этажности, количеству квартир и году ввода в эксплуатацию. Кроме того, в обоих есть крышная котельная.</w:t>
      </w:r>
    </w:p>
    <w:p w:rsidR="006B679B" w:rsidRDefault="006B679B" w:rsidP="00F84E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D0D0D" w:themeColor="text1" w:themeTint="F2"/>
        </w:rPr>
      </w:pPr>
    </w:p>
    <w:p w:rsidR="00F84EB5" w:rsidRPr="0022129C" w:rsidRDefault="00F84EB5" w:rsidP="00F84E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>
        <w:rPr>
          <w:i/>
          <w:color w:val="0D0D0D" w:themeColor="text1" w:themeTint="F2"/>
        </w:rPr>
        <w:t xml:space="preserve">Таблица 1. </w:t>
      </w:r>
      <w:r w:rsidRPr="0022129C">
        <w:rPr>
          <w:i/>
          <w:color w:val="0D0D0D" w:themeColor="text1" w:themeTint="F2"/>
        </w:rPr>
        <w:t>Динамика расчета электроэнергии, потребленной на общедомовые нужды, для многоквартирного дома с АИИСКУЭ</w:t>
      </w:r>
    </w:p>
    <w:tbl>
      <w:tblPr>
        <w:tblStyle w:val="ae"/>
        <w:tblW w:w="0" w:type="auto"/>
        <w:tblLook w:val="04A0"/>
      </w:tblPr>
      <w:tblGrid>
        <w:gridCol w:w="736"/>
        <w:gridCol w:w="1377"/>
        <w:gridCol w:w="2395"/>
        <w:gridCol w:w="2414"/>
        <w:gridCol w:w="2423"/>
      </w:tblGrid>
      <w:tr w:rsidR="00F84EB5" w:rsidRPr="0022129C" w:rsidTr="006173EE">
        <w:tc>
          <w:tcPr>
            <w:tcW w:w="2113" w:type="dxa"/>
            <w:gridSpan w:val="2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</w:t>
            </w:r>
          </w:p>
        </w:tc>
        <w:tc>
          <w:tcPr>
            <w:tcW w:w="2395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Общедомовое</w:t>
            </w:r>
            <w:proofErr w:type="spellEnd"/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потребление, кВт·ч</w:t>
            </w:r>
          </w:p>
        </w:tc>
        <w:tc>
          <w:tcPr>
            <w:tcW w:w="2414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Суммарное индивидуальное потребление, кВт·ч</w:t>
            </w:r>
          </w:p>
        </w:tc>
        <w:tc>
          <w:tcPr>
            <w:tcW w:w="2423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Объем электроэнергии, предоставленный на ОДН</w:t>
            </w:r>
          </w:p>
        </w:tc>
      </w:tr>
      <w:tr w:rsidR="00F84EB5" w:rsidRPr="0022129C" w:rsidTr="006173EE">
        <w:tc>
          <w:tcPr>
            <w:tcW w:w="2113" w:type="dxa"/>
            <w:gridSpan w:val="2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423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= 2-3</w:t>
            </w:r>
          </w:p>
        </w:tc>
      </w:tr>
      <w:tr w:rsidR="00F84EB5" w:rsidRPr="0022129C" w:rsidTr="006173EE">
        <w:tc>
          <w:tcPr>
            <w:tcW w:w="736" w:type="dxa"/>
            <w:vMerge w:val="restart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2020</w:t>
            </w:r>
          </w:p>
        </w:tc>
        <w:tc>
          <w:tcPr>
            <w:tcW w:w="1377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Январь</w:t>
            </w:r>
          </w:p>
        </w:tc>
        <w:tc>
          <w:tcPr>
            <w:tcW w:w="2395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18630</w:t>
            </w:r>
          </w:p>
        </w:tc>
        <w:tc>
          <w:tcPr>
            <w:tcW w:w="2414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13576</w:t>
            </w:r>
          </w:p>
        </w:tc>
        <w:tc>
          <w:tcPr>
            <w:tcW w:w="2423" w:type="dxa"/>
            <w:vAlign w:val="bottom"/>
          </w:tcPr>
          <w:p w:rsidR="00F84EB5" w:rsidRPr="0022129C" w:rsidRDefault="00F84EB5" w:rsidP="006173EE">
            <w:pPr>
              <w:ind w:firstLine="720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5054</w:t>
            </w:r>
          </w:p>
        </w:tc>
      </w:tr>
      <w:tr w:rsidR="00F84EB5" w:rsidRPr="0022129C" w:rsidTr="006173EE">
        <w:tc>
          <w:tcPr>
            <w:tcW w:w="736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7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  <w:tc>
          <w:tcPr>
            <w:tcW w:w="2395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19540</w:t>
            </w:r>
          </w:p>
        </w:tc>
        <w:tc>
          <w:tcPr>
            <w:tcW w:w="2414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14269</w:t>
            </w:r>
          </w:p>
        </w:tc>
        <w:tc>
          <w:tcPr>
            <w:tcW w:w="2423" w:type="dxa"/>
            <w:vAlign w:val="bottom"/>
          </w:tcPr>
          <w:p w:rsidR="00F84EB5" w:rsidRPr="0022129C" w:rsidRDefault="00F84EB5" w:rsidP="006173EE">
            <w:pPr>
              <w:ind w:firstLine="720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5271</w:t>
            </w:r>
          </w:p>
        </w:tc>
      </w:tr>
      <w:tr w:rsidR="00F84EB5" w:rsidRPr="0022129C" w:rsidTr="006173EE">
        <w:tc>
          <w:tcPr>
            <w:tcW w:w="736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7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Март</w:t>
            </w:r>
          </w:p>
        </w:tc>
        <w:tc>
          <w:tcPr>
            <w:tcW w:w="2395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16514</w:t>
            </w:r>
          </w:p>
        </w:tc>
        <w:tc>
          <w:tcPr>
            <w:tcW w:w="2414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11998</w:t>
            </w:r>
          </w:p>
        </w:tc>
        <w:tc>
          <w:tcPr>
            <w:tcW w:w="2423" w:type="dxa"/>
            <w:vAlign w:val="bottom"/>
          </w:tcPr>
          <w:p w:rsidR="00F84EB5" w:rsidRPr="0022129C" w:rsidRDefault="00F84EB5" w:rsidP="006173EE">
            <w:pPr>
              <w:ind w:firstLine="720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4516</w:t>
            </w:r>
          </w:p>
        </w:tc>
      </w:tr>
      <w:tr w:rsidR="00F84EB5" w:rsidRPr="0022129C" w:rsidTr="006173EE">
        <w:tc>
          <w:tcPr>
            <w:tcW w:w="736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7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Апрель</w:t>
            </w:r>
          </w:p>
        </w:tc>
        <w:tc>
          <w:tcPr>
            <w:tcW w:w="2395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18613</w:t>
            </w:r>
          </w:p>
        </w:tc>
        <w:tc>
          <w:tcPr>
            <w:tcW w:w="2414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13759</w:t>
            </w:r>
          </w:p>
        </w:tc>
        <w:tc>
          <w:tcPr>
            <w:tcW w:w="2423" w:type="dxa"/>
            <w:vAlign w:val="bottom"/>
          </w:tcPr>
          <w:p w:rsidR="00F84EB5" w:rsidRPr="0022129C" w:rsidRDefault="00F84EB5" w:rsidP="006173EE">
            <w:pPr>
              <w:ind w:firstLine="720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4854</w:t>
            </w:r>
          </w:p>
        </w:tc>
      </w:tr>
      <w:tr w:rsidR="00F84EB5" w:rsidRPr="0022129C" w:rsidTr="006173EE">
        <w:tc>
          <w:tcPr>
            <w:tcW w:w="736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7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Май</w:t>
            </w:r>
          </w:p>
        </w:tc>
        <w:tc>
          <w:tcPr>
            <w:tcW w:w="2395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17050</w:t>
            </w:r>
          </w:p>
        </w:tc>
        <w:tc>
          <w:tcPr>
            <w:tcW w:w="2414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13253</w:t>
            </w:r>
          </w:p>
        </w:tc>
        <w:tc>
          <w:tcPr>
            <w:tcW w:w="2423" w:type="dxa"/>
            <w:vAlign w:val="bottom"/>
          </w:tcPr>
          <w:p w:rsidR="00F84EB5" w:rsidRPr="0022129C" w:rsidRDefault="00F84EB5" w:rsidP="006173EE">
            <w:pPr>
              <w:ind w:firstLine="720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3797</w:t>
            </w:r>
          </w:p>
        </w:tc>
      </w:tr>
      <w:tr w:rsidR="00F84EB5" w:rsidRPr="0022129C" w:rsidTr="006173EE">
        <w:tc>
          <w:tcPr>
            <w:tcW w:w="736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7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Июнь</w:t>
            </w:r>
          </w:p>
        </w:tc>
        <w:tc>
          <w:tcPr>
            <w:tcW w:w="2395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15678</w:t>
            </w:r>
          </w:p>
        </w:tc>
        <w:tc>
          <w:tcPr>
            <w:tcW w:w="2414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12444</w:t>
            </w:r>
          </w:p>
        </w:tc>
        <w:tc>
          <w:tcPr>
            <w:tcW w:w="2423" w:type="dxa"/>
            <w:vAlign w:val="bottom"/>
          </w:tcPr>
          <w:p w:rsidR="00F84EB5" w:rsidRPr="0022129C" w:rsidRDefault="00F84EB5" w:rsidP="006173EE">
            <w:pPr>
              <w:ind w:firstLine="720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3234</w:t>
            </w:r>
          </w:p>
        </w:tc>
      </w:tr>
      <w:tr w:rsidR="00F84EB5" w:rsidRPr="0022129C" w:rsidTr="006173EE">
        <w:tc>
          <w:tcPr>
            <w:tcW w:w="736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7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Июль</w:t>
            </w:r>
          </w:p>
        </w:tc>
        <w:tc>
          <w:tcPr>
            <w:tcW w:w="2395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16218</w:t>
            </w:r>
          </w:p>
        </w:tc>
        <w:tc>
          <w:tcPr>
            <w:tcW w:w="2414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12829</w:t>
            </w:r>
          </w:p>
        </w:tc>
        <w:tc>
          <w:tcPr>
            <w:tcW w:w="2423" w:type="dxa"/>
            <w:vAlign w:val="bottom"/>
          </w:tcPr>
          <w:p w:rsidR="00F84EB5" w:rsidRPr="0022129C" w:rsidRDefault="00F84EB5" w:rsidP="006173EE">
            <w:pPr>
              <w:ind w:firstLine="720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3389</w:t>
            </w:r>
          </w:p>
        </w:tc>
      </w:tr>
      <w:tr w:rsidR="00F84EB5" w:rsidRPr="0022129C" w:rsidTr="006173EE">
        <w:tc>
          <w:tcPr>
            <w:tcW w:w="736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7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</w:t>
            </w:r>
          </w:p>
        </w:tc>
        <w:tc>
          <w:tcPr>
            <w:tcW w:w="2395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16307</w:t>
            </w:r>
          </w:p>
        </w:tc>
        <w:tc>
          <w:tcPr>
            <w:tcW w:w="2414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12862</w:t>
            </w:r>
          </w:p>
        </w:tc>
        <w:tc>
          <w:tcPr>
            <w:tcW w:w="2423" w:type="dxa"/>
            <w:vAlign w:val="bottom"/>
          </w:tcPr>
          <w:p w:rsidR="00F84EB5" w:rsidRPr="0022129C" w:rsidRDefault="00F84EB5" w:rsidP="006173EE">
            <w:pPr>
              <w:ind w:firstLine="720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3445</w:t>
            </w:r>
          </w:p>
        </w:tc>
      </w:tr>
      <w:tr w:rsidR="00F84EB5" w:rsidRPr="0022129C" w:rsidTr="006173EE">
        <w:tc>
          <w:tcPr>
            <w:tcW w:w="736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7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</w:t>
            </w:r>
          </w:p>
        </w:tc>
        <w:tc>
          <w:tcPr>
            <w:tcW w:w="2395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15776</w:t>
            </w:r>
          </w:p>
        </w:tc>
        <w:tc>
          <w:tcPr>
            <w:tcW w:w="2414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12452</w:t>
            </w:r>
          </w:p>
        </w:tc>
        <w:tc>
          <w:tcPr>
            <w:tcW w:w="2423" w:type="dxa"/>
            <w:vAlign w:val="bottom"/>
          </w:tcPr>
          <w:p w:rsidR="00F84EB5" w:rsidRPr="0022129C" w:rsidRDefault="00F84EB5" w:rsidP="006173EE">
            <w:pPr>
              <w:ind w:firstLine="720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3324</w:t>
            </w:r>
          </w:p>
        </w:tc>
      </w:tr>
      <w:tr w:rsidR="00F84EB5" w:rsidRPr="0022129C" w:rsidTr="006173EE">
        <w:tc>
          <w:tcPr>
            <w:tcW w:w="736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7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Октябрь</w:t>
            </w:r>
          </w:p>
        </w:tc>
        <w:tc>
          <w:tcPr>
            <w:tcW w:w="2395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18335</w:t>
            </w:r>
          </w:p>
        </w:tc>
        <w:tc>
          <w:tcPr>
            <w:tcW w:w="2414" w:type="dxa"/>
            <w:vAlign w:val="center"/>
          </w:tcPr>
          <w:p w:rsidR="00F84EB5" w:rsidRPr="0022129C" w:rsidRDefault="00F84EB5" w:rsidP="006173EE">
            <w:pPr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14124</w:t>
            </w:r>
          </w:p>
        </w:tc>
        <w:tc>
          <w:tcPr>
            <w:tcW w:w="2423" w:type="dxa"/>
            <w:vAlign w:val="bottom"/>
          </w:tcPr>
          <w:p w:rsidR="00F84EB5" w:rsidRPr="0022129C" w:rsidRDefault="00F84EB5" w:rsidP="006173EE">
            <w:pPr>
              <w:ind w:firstLine="720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4211</w:t>
            </w:r>
          </w:p>
        </w:tc>
      </w:tr>
    </w:tbl>
    <w:p w:rsidR="00F84EB5" w:rsidRPr="0022129C" w:rsidRDefault="00F84EB5" w:rsidP="00F84E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</w:p>
    <w:p w:rsidR="00F84EB5" w:rsidRDefault="00F84EB5" w:rsidP="00F84E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 xml:space="preserve">В </w:t>
      </w:r>
      <w:r>
        <w:rPr>
          <w:color w:val="0D0D0D" w:themeColor="text1" w:themeTint="F2"/>
        </w:rPr>
        <w:t xml:space="preserve">представленной выше таблице </w:t>
      </w:r>
      <w:r w:rsidRPr="0022129C">
        <w:rPr>
          <w:color w:val="0D0D0D" w:themeColor="text1" w:themeTint="F2"/>
        </w:rPr>
        <w:t>можно заметить, что увеличение объема электроэнергии, предоставленной на общедомовые нужны, происходит в холодные месяцы (сказывается работа крышной котельной). В остальном же объем ОДН – с оговоркой на сезон - ежемесячно примерно одинаков.</w:t>
      </w:r>
    </w:p>
    <w:p w:rsidR="000F7F2A" w:rsidRDefault="000F7F2A" w:rsidP="00F84E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D0D0D" w:themeColor="text1" w:themeTint="F2"/>
        </w:rPr>
      </w:pPr>
    </w:p>
    <w:p w:rsidR="00F84EB5" w:rsidRPr="00BF283A" w:rsidRDefault="00F84EB5" w:rsidP="00F84E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D0D0D" w:themeColor="text1" w:themeTint="F2"/>
        </w:rPr>
      </w:pPr>
      <w:r>
        <w:rPr>
          <w:i/>
          <w:color w:val="0D0D0D" w:themeColor="text1" w:themeTint="F2"/>
        </w:rPr>
        <w:lastRenderedPageBreak/>
        <w:t xml:space="preserve">Таблица 2. </w:t>
      </w:r>
      <w:r w:rsidRPr="00BF283A">
        <w:rPr>
          <w:i/>
          <w:color w:val="0D0D0D" w:themeColor="text1" w:themeTint="F2"/>
        </w:rPr>
        <w:t>Динамика расчета электроэнергии, потребленной на общедомовые нужды, для многоквартирного дома без АИИСКУЭ</w:t>
      </w:r>
    </w:p>
    <w:tbl>
      <w:tblPr>
        <w:tblStyle w:val="ae"/>
        <w:tblW w:w="0" w:type="auto"/>
        <w:tblLook w:val="04A0"/>
      </w:tblPr>
      <w:tblGrid>
        <w:gridCol w:w="734"/>
        <w:gridCol w:w="1375"/>
        <w:gridCol w:w="2401"/>
        <w:gridCol w:w="2414"/>
        <w:gridCol w:w="2421"/>
      </w:tblGrid>
      <w:tr w:rsidR="00F84EB5" w:rsidRPr="0022129C" w:rsidTr="006173EE">
        <w:tc>
          <w:tcPr>
            <w:tcW w:w="2109" w:type="dxa"/>
            <w:gridSpan w:val="2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</w:t>
            </w:r>
          </w:p>
        </w:tc>
        <w:tc>
          <w:tcPr>
            <w:tcW w:w="2401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Общедомовое</w:t>
            </w:r>
            <w:proofErr w:type="spellEnd"/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потребление, кВт·ч</w:t>
            </w:r>
          </w:p>
        </w:tc>
        <w:tc>
          <w:tcPr>
            <w:tcW w:w="2414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Суммарное индивидуальное потребление, кВт·ч</w:t>
            </w:r>
          </w:p>
        </w:tc>
        <w:tc>
          <w:tcPr>
            <w:tcW w:w="2421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Объем электроэнергии, предоставленный на ОДН</w:t>
            </w:r>
          </w:p>
        </w:tc>
      </w:tr>
      <w:tr w:rsidR="00F84EB5" w:rsidRPr="0022129C" w:rsidTr="006173EE">
        <w:tc>
          <w:tcPr>
            <w:tcW w:w="2109" w:type="dxa"/>
            <w:gridSpan w:val="2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= 2-3</w:t>
            </w:r>
          </w:p>
        </w:tc>
      </w:tr>
      <w:tr w:rsidR="00F84EB5" w:rsidRPr="0022129C" w:rsidTr="006173EE">
        <w:tc>
          <w:tcPr>
            <w:tcW w:w="734" w:type="dxa"/>
            <w:vMerge w:val="restart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2020</w:t>
            </w:r>
          </w:p>
        </w:tc>
        <w:tc>
          <w:tcPr>
            <w:tcW w:w="1375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Январь</w:t>
            </w:r>
          </w:p>
        </w:tc>
        <w:tc>
          <w:tcPr>
            <w:tcW w:w="2401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19853</w:t>
            </w:r>
          </w:p>
        </w:tc>
        <w:tc>
          <w:tcPr>
            <w:tcW w:w="2414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14338</w:t>
            </w:r>
          </w:p>
        </w:tc>
        <w:tc>
          <w:tcPr>
            <w:tcW w:w="2421" w:type="dxa"/>
            <w:vAlign w:val="bottom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5515</w:t>
            </w:r>
          </w:p>
        </w:tc>
      </w:tr>
      <w:tr w:rsidR="00F84EB5" w:rsidRPr="0022129C" w:rsidTr="006173EE">
        <w:tc>
          <w:tcPr>
            <w:tcW w:w="734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5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  <w:tc>
          <w:tcPr>
            <w:tcW w:w="2401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21419</w:t>
            </w:r>
          </w:p>
        </w:tc>
        <w:tc>
          <w:tcPr>
            <w:tcW w:w="2414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13944</w:t>
            </w:r>
          </w:p>
        </w:tc>
        <w:tc>
          <w:tcPr>
            <w:tcW w:w="2421" w:type="dxa"/>
            <w:vAlign w:val="bottom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7475</w:t>
            </w:r>
          </w:p>
        </w:tc>
      </w:tr>
      <w:tr w:rsidR="00F84EB5" w:rsidRPr="0022129C" w:rsidTr="006173EE">
        <w:tc>
          <w:tcPr>
            <w:tcW w:w="734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5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Март</w:t>
            </w:r>
          </w:p>
        </w:tc>
        <w:tc>
          <w:tcPr>
            <w:tcW w:w="2401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17668</w:t>
            </w:r>
          </w:p>
        </w:tc>
        <w:tc>
          <w:tcPr>
            <w:tcW w:w="2414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12520</w:t>
            </w:r>
          </w:p>
        </w:tc>
        <w:tc>
          <w:tcPr>
            <w:tcW w:w="2421" w:type="dxa"/>
            <w:vAlign w:val="bottom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5148</w:t>
            </w:r>
          </w:p>
        </w:tc>
      </w:tr>
      <w:tr w:rsidR="00F84EB5" w:rsidRPr="0022129C" w:rsidTr="006173EE">
        <w:tc>
          <w:tcPr>
            <w:tcW w:w="734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5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Апрель</w:t>
            </w:r>
          </w:p>
        </w:tc>
        <w:tc>
          <w:tcPr>
            <w:tcW w:w="2401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18629</w:t>
            </w:r>
          </w:p>
        </w:tc>
        <w:tc>
          <w:tcPr>
            <w:tcW w:w="2414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12598</w:t>
            </w:r>
          </w:p>
        </w:tc>
        <w:tc>
          <w:tcPr>
            <w:tcW w:w="2421" w:type="dxa"/>
            <w:vAlign w:val="bottom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6031</w:t>
            </w:r>
          </w:p>
        </w:tc>
      </w:tr>
      <w:tr w:rsidR="00F84EB5" w:rsidRPr="0022129C" w:rsidTr="006173EE">
        <w:tc>
          <w:tcPr>
            <w:tcW w:w="734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5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Май</w:t>
            </w:r>
          </w:p>
        </w:tc>
        <w:tc>
          <w:tcPr>
            <w:tcW w:w="2401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18080</w:t>
            </w:r>
          </w:p>
        </w:tc>
        <w:tc>
          <w:tcPr>
            <w:tcW w:w="2414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14742</w:t>
            </w:r>
          </w:p>
        </w:tc>
        <w:tc>
          <w:tcPr>
            <w:tcW w:w="2421" w:type="dxa"/>
            <w:vAlign w:val="bottom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3338</w:t>
            </w:r>
          </w:p>
        </w:tc>
      </w:tr>
      <w:tr w:rsidR="00F84EB5" w:rsidRPr="0022129C" w:rsidTr="006173EE">
        <w:tc>
          <w:tcPr>
            <w:tcW w:w="734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5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Июнь</w:t>
            </w:r>
          </w:p>
        </w:tc>
        <w:tc>
          <w:tcPr>
            <w:tcW w:w="2401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17729</w:t>
            </w:r>
          </w:p>
        </w:tc>
        <w:tc>
          <w:tcPr>
            <w:tcW w:w="2414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13237</w:t>
            </w:r>
          </w:p>
        </w:tc>
        <w:tc>
          <w:tcPr>
            <w:tcW w:w="2421" w:type="dxa"/>
            <w:vAlign w:val="bottom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4492</w:t>
            </w:r>
          </w:p>
        </w:tc>
      </w:tr>
      <w:tr w:rsidR="00F84EB5" w:rsidRPr="0022129C" w:rsidTr="006173EE">
        <w:tc>
          <w:tcPr>
            <w:tcW w:w="734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5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Июль</w:t>
            </w:r>
          </w:p>
        </w:tc>
        <w:tc>
          <w:tcPr>
            <w:tcW w:w="2401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15876</w:t>
            </w:r>
          </w:p>
        </w:tc>
        <w:tc>
          <w:tcPr>
            <w:tcW w:w="2414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15118</w:t>
            </w:r>
          </w:p>
        </w:tc>
        <w:tc>
          <w:tcPr>
            <w:tcW w:w="2421" w:type="dxa"/>
            <w:vAlign w:val="bottom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758</w:t>
            </w:r>
          </w:p>
        </w:tc>
      </w:tr>
      <w:tr w:rsidR="00F84EB5" w:rsidRPr="0022129C" w:rsidTr="006173EE">
        <w:tc>
          <w:tcPr>
            <w:tcW w:w="734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5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</w:t>
            </w:r>
          </w:p>
        </w:tc>
        <w:tc>
          <w:tcPr>
            <w:tcW w:w="2401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16219</w:t>
            </w:r>
          </w:p>
        </w:tc>
        <w:tc>
          <w:tcPr>
            <w:tcW w:w="2414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10809</w:t>
            </w:r>
          </w:p>
        </w:tc>
        <w:tc>
          <w:tcPr>
            <w:tcW w:w="2421" w:type="dxa"/>
            <w:vAlign w:val="bottom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5410</w:t>
            </w:r>
          </w:p>
        </w:tc>
      </w:tr>
      <w:tr w:rsidR="00F84EB5" w:rsidRPr="0022129C" w:rsidTr="006173EE">
        <w:tc>
          <w:tcPr>
            <w:tcW w:w="734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5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</w:t>
            </w:r>
          </w:p>
        </w:tc>
        <w:tc>
          <w:tcPr>
            <w:tcW w:w="2401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16773</w:t>
            </w:r>
          </w:p>
        </w:tc>
        <w:tc>
          <w:tcPr>
            <w:tcW w:w="2414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13698</w:t>
            </w:r>
          </w:p>
        </w:tc>
        <w:tc>
          <w:tcPr>
            <w:tcW w:w="2421" w:type="dxa"/>
            <w:vAlign w:val="bottom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3075</w:t>
            </w:r>
          </w:p>
        </w:tc>
      </w:tr>
      <w:tr w:rsidR="00F84EB5" w:rsidRPr="0022129C" w:rsidTr="006173EE">
        <w:tc>
          <w:tcPr>
            <w:tcW w:w="734" w:type="dxa"/>
            <w:vMerge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5" w:type="dxa"/>
          </w:tcPr>
          <w:p w:rsidR="00F84EB5" w:rsidRPr="0022129C" w:rsidRDefault="00F84EB5" w:rsidP="00357176">
            <w:pPr>
              <w:autoSpaceDE w:val="0"/>
              <w:autoSpaceDN w:val="0"/>
              <w:adjustRightInd w:val="0"/>
              <w:ind w:hanging="2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Октябрь</w:t>
            </w:r>
          </w:p>
        </w:tc>
        <w:tc>
          <w:tcPr>
            <w:tcW w:w="2401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16295</w:t>
            </w:r>
          </w:p>
        </w:tc>
        <w:tc>
          <w:tcPr>
            <w:tcW w:w="2414" w:type="dxa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15747</w:t>
            </w:r>
          </w:p>
        </w:tc>
        <w:tc>
          <w:tcPr>
            <w:tcW w:w="2421" w:type="dxa"/>
            <w:vAlign w:val="bottom"/>
          </w:tcPr>
          <w:p w:rsidR="00F84EB5" w:rsidRPr="0022129C" w:rsidRDefault="00F84EB5" w:rsidP="006173E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12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548</w:t>
            </w:r>
          </w:p>
        </w:tc>
      </w:tr>
    </w:tbl>
    <w:p w:rsidR="00F84EB5" w:rsidRPr="0022129C" w:rsidRDefault="00F84EB5" w:rsidP="00F84E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</w:p>
    <w:p w:rsidR="00F84EB5" w:rsidRPr="0022129C" w:rsidRDefault="00F84EB5" w:rsidP="00F84E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>В доме, где показания приборов учета снимают владельцы домохозяйств (</w:t>
      </w:r>
      <w:r>
        <w:rPr>
          <w:color w:val="0D0D0D" w:themeColor="text1" w:themeTint="F2"/>
        </w:rPr>
        <w:t>Таблица 2</w:t>
      </w:r>
      <w:r w:rsidRPr="0022129C">
        <w:rPr>
          <w:color w:val="0D0D0D" w:themeColor="text1" w:themeTint="F2"/>
        </w:rPr>
        <w:t>), общедомовое потребление также возрастает в холодные месяцы, однако объем электроэнергии, предоставленный на ОДН, от сезона не зави</w:t>
      </w:r>
      <w:r w:rsidR="007219D4">
        <w:rPr>
          <w:color w:val="0D0D0D" w:themeColor="text1" w:themeTint="F2"/>
        </w:rPr>
        <w:t>си</w:t>
      </w:r>
      <w:r w:rsidRPr="0022129C">
        <w:rPr>
          <w:color w:val="0D0D0D" w:themeColor="text1" w:themeTint="F2"/>
        </w:rPr>
        <w:t xml:space="preserve">т – от месяца к месяцу он крайне неравномерен. Это связано с тем, что жильцы снимают и передают показания </w:t>
      </w:r>
      <w:r w:rsidRPr="00BF0B71">
        <w:rPr>
          <w:color w:val="0D0D0D" w:themeColor="text1" w:themeTint="F2"/>
        </w:rPr>
        <w:t xml:space="preserve">в </w:t>
      </w:r>
      <w:r w:rsidR="007219D4" w:rsidRPr="00BF0B71">
        <w:rPr>
          <w:color w:val="0D0D0D" w:themeColor="text1" w:themeTint="F2"/>
        </w:rPr>
        <w:t>разные</w:t>
      </w:r>
      <w:r w:rsidRPr="00BF0B71">
        <w:rPr>
          <w:color w:val="0D0D0D" w:themeColor="text1" w:themeTint="F2"/>
        </w:rPr>
        <w:t xml:space="preserve"> дни</w:t>
      </w:r>
      <w:r w:rsidR="007219D4" w:rsidRPr="00BF0B71">
        <w:rPr>
          <w:color w:val="0D0D0D" w:themeColor="text1" w:themeTint="F2"/>
        </w:rPr>
        <w:t xml:space="preserve"> месяца</w:t>
      </w:r>
      <w:r w:rsidRPr="0022129C">
        <w:rPr>
          <w:color w:val="0D0D0D" w:themeColor="text1" w:themeTint="F2"/>
        </w:rPr>
        <w:t>, а некоторые владельцы квартир не сообщают о своем энергопотреблении.  Многоквартирный дом без АИИСКУЭ – классический пример ситуации, при которой жильцы обращаются к гарантирующему поставщику с жалобами на начисление ОДН.</w:t>
      </w:r>
    </w:p>
    <w:p w:rsidR="006B679B" w:rsidRDefault="006B679B" w:rsidP="006B679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 xml:space="preserve">На основании расчетов, приведенных выше, можно сделать однозначный вывод, что применение АИИСКУЭ позволяет стабилизировать размер начислений за ОДН для каждого домохозяйства, сделать их более прозрачными и понятными потребителям. </w:t>
      </w:r>
    </w:p>
    <w:p w:rsidR="006B679B" w:rsidRPr="0022129C" w:rsidRDefault="005E0829" w:rsidP="006B679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BF0B71">
        <w:rPr>
          <w:color w:val="0D0D0D" w:themeColor="text1" w:themeTint="F2"/>
        </w:rPr>
        <w:t>Правильность</w:t>
      </w:r>
      <w:r w:rsidR="006B679B" w:rsidRPr="00BF0B71">
        <w:rPr>
          <w:color w:val="0D0D0D" w:themeColor="text1" w:themeTint="F2"/>
        </w:rPr>
        <w:t xml:space="preserve"> </w:t>
      </w:r>
      <w:r w:rsidRPr="00BF0B71">
        <w:rPr>
          <w:color w:val="0D0D0D" w:themeColor="text1" w:themeTint="F2"/>
        </w:rPr>
        <w:t xml:space="preserve">начислений </w:t>
      </w:r>
      <w:r w:rsidR="006B679B" w:rsidRPr="00BF0B71">
        <w:rPr>
          <w:color w:val="0D0D0D" w:themeColor="text1" w:themeTint="F2"/>
        </w:rPr>
        <w:t>за электроэнергию</w:t>
      </w:r>
      <w:r w:rsidR="006B679B">
        <w:rPr>
          <w:color w:val="0D0D0D" w:themeColor="text1" w:themeTint="F2"/>
        </w:rPr>
        <w:t>, предоставл</w:t>
      </w:r>
      <w:r w:rsidR="000F7F2A">
        <w:rPr>
          <w:color w:val="0D0D0D" w:themeColor="text1" w:themeTint="F2"/>
        </w:rPr>
        <w:t>енную на общедомовые нужды, имее</w:t>
      </w:r>
      <w:r w:rsidR="006B679B">
        <w:rPr>
          <w:color w:val="0D0D0D" w:themeColor="text1" w:themeTint="F2"/>
        </w:rPr>
        <w:t xml:space="preserve">т </w:t>
      </w:r>
      <w:r>
        <w:rPr>
          <w:color w:val="0D0D0D" w:themeColor="text1" w:themeTint="F2"/>
        </w:rPr>
        <w:t>принципиальное</w:t>
      </w:r>
      <w:r w:rsidR="006B679B">
        <w:rPr>
          <w:color w:val="0D0D0D" w:themeColor="text1" w:themeTint="F2"/>
        </w:rPr>
        <w:t xml:space="preserve"> значение во взаимоотношениях между гарантирующим поставщиком и жителями многоквартирных домов, но </w:t>
      </w:r>
      <w:r w:rsidR="00F816A0">
        <w:rPr>
          <w:color w:val="0D0D0D" w:themeColor="text1" w:themeTint="F2"/>
        </w:rPr>
        <w:t xml:space="preserve">это только одно из широкого ряда преимуществ применения АИИСКУЭ. </w:t>
      </w:r>
    </w:p>
    <w:p w:rsidR="000F7F2A" w:rsidRDefault="0020112D" w:rsidP="00F816A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BF0B71">
        <w:rPr>
          <w:color w:val="0D0D0D" w:themeColor="text1" w:themeTint="F2"/>
        </w:rPr>
        <w:t xml:space="preserve">Функциональные </w:t>
      </w:r>
      <w:r w:rsidR="00714398" w:rsidRPr="00BF0B71">
        <w:rPr>
          <w:color w:val="0D0D0D" w:themeColor="text1" w:themeTint="F2"/>
        </w:rPr>
        <w:t>возможности приборов учета</w:t>
      </w:r>
      <w:r w:rsidR="00714398">
        <w:rPr>
          <w:color w:val="0D0D0D" w:themeColor="text1" w:themeTint="F2"/>
        </w:rPr>
        <w:t>, интегрированных</w:t>
      </w:r>
      <w:r w:rsidR="00F816A0">
        <w:rPr>
          <w:color w:val="0D0D0D" w:themeColor="text1" w:themeTint="F2"/>
        </w:rPr>
        <w:t xml:space="preserve"> в АИИСКУЭ, </w:t>
      </w:r>
      <w:r w:rsidR="00714398">
        <w:rPr>
          <w:color w:val="0D0D0D" w:themeColor="text1" w:themeTint="F2"/>
        </w:rPr>
        <w:t>позволяют проводи</w:t>
      </w:r>
      <w:r w:rsidR="00F816A0" w:rsidRPr="00F568AA">
        <w:rPr>
          <w:color w:val="0D0D0D" w:themeColor="text1" w:themeTint="F2"/>
        </w:rPr>
        <w:t>т</w:t>
      </w:r>
      <w:r w:rsidR="00714398">
        <w:rPr>
          <w:color w:val="0D0D0D" w:themeColor="text1" w:themeTint="F2"/>
        </w:rPr>
        <w:t>ь</w:t>
      </w:r>
      <w:r w:rsidR="00F816A0" w:rsidRPr="00F568AA">
        <w:rPr>
          <w:color w:val="0D0D0D" w:themeColor="text1" w:themeTint="F2"/>
        </w:rPr>
        <w:t xml:space="preserve"> измерение параметров электрической сети, фиксировать нарушения </w:t>
      </w:r>
      <w:r w:rsidR="00714398" w:rsidRPr="00BF0B71">
        <w:rPr>
          <w:color w:val="0D0D0D" w:themeColor="text1" w:themeTint="F2"/>
        </w:rPr>
        <w:t xml:space="preserve">качественных </w:t>
      </w:r>
      <w:r w:rsidR="00F816A0" w:rsidRPr="00BF0B71">
        <w:rPr>
          <w:color w:val="0D0D0D" w:themeColor="text1" w:themeTint="F2"/>
        </w:rPr>
        <w:t>характеристик электроэнергии</w:t>
      </w:r>
      <w:r w:rsidR="00F816A0">
        <w:rPr>
          <w:color w:val="0D0D0D" w:themeColor="text1" w:themeTint="F2"/>
        </w:rPr>
        <w:t xml:space="preserve">, </w:t>
      </w:r>
      <w:r w:rsidR="00F816A0" w:rsidRPr="00F568AA">
        <w:rPr>
          <w:color w:val="0D0D0D" w:themeColor="text1" w:themeTint="F2"/>
        </w:rPr>
        <w:t>записыва</w:t>
      </w:r>
      <w:r w:rsidR="000F7F2A">
        <w:rPr>
          <w:color w:val="0D0D0D" w:themeColor="text1" w:themeTint="F2"/>
        </w:rPr>
        <w:t>ть</w:t>
      </w:r>
      <w:r w:rsidR="00F816A0" w:rsidRPr="00F568AA">
        <w:rPr>
          <w:color w:val="0D0D0D" w:themeColor="text1" w:themeTint="F2"/>
        </w:rPr>
        <w:t xml:space="preserve"> и хран</w:t>
      </w:r>
      <w:r w:rsidR="000F7F2A">
        <w:rPr>
          <w:color w:val="0D0D0D" w:themeColor="text1" w:themeTint="F2"/>
        </w:rPr>
        <w:t>ить</w:t>
      </w:r>
      <w:r w:rsidR="00F816A0" w:rsidRPr="00F568AA">
        <w:rPr>
          <w:color w:val="0D0D0D" w:themeColor="text1" w:themeTint="F2"/>
        </w:rPr>
        <w:t xml:space="preserve"> накопленную информацию от 6 до 36 месяцев в зависимости от модификации и предоставляют данные для анализа о профилях нагрузки. Счетчики реагируют на попытки несанкционированного доступа: фиксируют факты воздействия магнитным полем, нарушения электронной пломбы, попыток повреждения целостности программного обеспечения, отклонения в большую или меньшую сторону от заданных параметров напряжения. Важно, что </w:t>
      </w:r>
      <w:r w:rsidR="00F816A0" w:rsidRPr="00BF0B71">
        <w:rPr>
          <w:color w:val="0D0D0D" w:themeColor="text1" w:themeTint="F2"/>
        </w:rPr>
        <w:t xml:space="preserve">прибор записывает информацию не только о времени отсутствия напряжения, </w:t>
      </w:r>
      <w:r w:rsidR="002A051E" w:rsidRPr="00BF0B71">
        <w:rPr>
          <w:color w:val="0D0D0D" w:themeColor="text1" w:themeTint="F2"/>
        </w:rPr>
        <w:t>но и о причине такого перерыва -</w:t>
      </w:r>
      <w:r w:rsidR="00F816A0" w:rsidRPr="00BF0B71">
        <w:rPr>
          <w:color w:val="0D0D0D" w:themeColor="text1" w:themeTint="F2"/>
        </w:rPr>
        <w:t xml:space="preserve"> и в том случае, если причиной послужило постороннее вмешательство в работу счетчика, в журнале событий энергонезависимой памяти регистрируется, с каким прибором учета связано изм</w:t>
      </w:r>
      <w:r w:rsidR="002A051E" w:rsidRPr="00BF0B71">
        <w:rPr>
          <w:color w:val="0D0D0D" w:themeColor="text1" w:themeTint="F2"/>
        </w:rPr>
        <w:t>енение параметров конфигурации.</w:t>
      </w:r>
      <w:r w:rsidR="002A051E">
        <w:rPr>
          <w:color w:val="0D0D0D" w:themeColor="text1" w:themeTint="F2"/>
        </w:rPr>
        <w:t xml:space="preserve"> </w:t>
      </w:r>
    </w:p>
    <w:p w:rsidR="00F816A0" w:rsidRPr="00F568AA" w:rsidRDefault="00697BA6" w:rsidP="00F816A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BF0B71">
        <w:rPr>
          <w:color w:val="0D0D0D" w:themeColor="text1" w:themeTint="F2"/>
        </w:rPr>
        <w:t xml:space="preserve">Информация, записанная в памяти счетчика АИИСКУЭ, считается юридически значимой. Этот аспект </w:t>
      </w:r>
      <w:r w:rsidR="007C07D9" w:rsidRPr="00BF0B71">
        <w:rPr>
          <w:color w:val="0D0D0D" w:themeColor="text1" w:themeTint="F2"/>
        </w:rPr>
        <w:t xml:space="preserve">в перспективе окажет </w:t>
      </w:r>
      <w:r w:rsidR="000F7F2A" w:rsidRPr="00BF0B71">
        <w:rPr>
          <w:color w:val="0D0D0D" w:themeColor="text1" w:themeTint="F2"/>
        </w:rPr>
        <w:t>большое</w:t>
      </w:r>
      <w:r w:rsidR="007C07D9" w:rsidRPr="00BF0B71">
        <w:rPr>
          <w:color w:val="0D0D0D" w:themeColor="text1" w:themeTint="F2"/>
        </w:rPr>
        <w:t xml:space="preserve"> влияние на эффективность</w:t>
      </w:r>
      <w:r w:rsidRPr="00BF0B71">
        <w:rPr>
          <w:color w:val="0D0D0D" w:themeColor="text1" w:themeTint="F2"/>
        </w:rPr>
        <w:t xml:space="preserve"> за</w:t>
      </w:r>
      <w:r w:rsidR="007C07D9" w:rsidRPr="00BF0B71">
        <w:rPr>
          <w:color w:val="0D0D0D" w:themeColor="text1" w:themeTint="F2"/>
        </w:rPr>
        <w:t xml:space="preserve">щиты прав потребителей </w:t>
      </w:r>
      <w:r w:rsidR="004A3283" w:rsidRPr="00BF0B71">
        <w:rPr>
          <w:color w:val="0D0D0D" w:themeColor="text1" w:themeTint="F2"/>
        </w:rPr>
        <w:t>при рассмотрении исков о порче имущества (электроприборов и бытовой техники) вследствие</w:t>
      </w:r>
      <w:r w:rsidR="00E14033" w:rsidRPr="00BF0B71">
        <w:rPr>
          <w:color w:val="0D0D0D" w:themeColor="text1" w:themeTint="F2"/>
        </w:rPr>
        <w:t xml:space="preserve"> некачественной поставки электроэнергии</w:t>
      </w:r>
      <w:r w:rsidR="004A3283" w:rsidRPr="00BF0B71">
        <w:rPr>
          <w:color w:val="0D0D0D" w:themeColor="text1" w:themeTint="F2"/>
        </w:rPr>
        <w:t>.</w:t>
      </w:r>
      <w:r w:rsidR="004A3283">
        <w:rPr>
          <w:color w:val="0D0D0D" w:themeColor="text1" w:themeTint="F2"/>
        </w:rPr>
        <w:t xml:space="preserve"> </w:t>
      </w:r>
    </w:p>
    <w:p w:rsidR="00F816A0" w:rsidRPr="00F568AA" w:rsidRDefault="00F816A0" w:rsidP="00F816A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F568AA">
        <w:rPr>
          <w:color w:val="0D0D0D" w:themeColor="text1" w:themeTint="F2"/>
        </w:rPr>
        <w:t xml:space="preserve">Обязательным для </w:t>
      </w:r>
      <w:r w:rsidR="00E61759">
        <w:rPr>
          <w:color w:val="0D0D0D" w:themeColor="text1" w:themeTint="F2"/>
        </w:rPr>
        <w:t>приборов</w:t>
      </w:r>
      <w:r w:rsidR="00EC774D">
        <w:rPr>
          <w:color w:val="0D0D0D" w:themeColor="text1" w:themeTint="F2"/>
        </w:rPr>
        <w:t>, осуществляющих интеллектуальный учет</w:t>
      </w:r>
      <w:r w:rsidRPr="00F568AA">
        <w:rPr>
          <w:color w:val="0D0D0D" w:themeColor="text1" w:themeTint="F2"/>
        </w:rPr>
        <w:t xml:space="preserve"> </w:t>
      </w:r>
      <w:r w:rsidR="00EC774D">
        <w:rPr>
          <w:color w:val="0D0D0D" w:themeColor="text1" w:themeTint="F2"/>
        </w:rPr>
        <w:t xml:space="preserve">электроэнергии, </w:t>
      </w:r>
      <w:r w:rsidRPr="00F568AA">
        <w:rPr>
          <w:color w:val="0D0D0D" w:themeColor="text1" w:themeTint="F2"/>
        </w:rPr>
        <w:t xml:space="preserve">является наличие встроенного силового реле управления нагрузкой. Этот </w:t>
      </w:r>
      <w:r w:rsidRPr="00F568AA">
        <w:rPr>
          <w:color w:val="0D0D0D" w:themeColor="text1" w:themeTint="F2"/>
        </w:rPr>
        <w:lastRenderedPageBreak/>
        <w:t xml:space="preserve">модуль позволяет производить ограничение и возобновление подачи электроэнергии по конкретному домохозяйству при превышении заданных в приборе учета пределов потребляемой электроэнергии и мощности, несанкционированном вмешательстве в работу счетчика или в случае систематического нарушения потребителем обязательств по оплате электроэнергии. </w:t>
      </w:r>
    </w:p>
    <w:p w:rsidR="00E0146B" w:rsidRPr="0022129C" w:rsidRDefault="007B381D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 xml:space="preserve">Поскольку гарантирующие поставщики вовлечены в процесс </w:t>
      </w:r>
      <w:r w:rsidR="00EC774D" w:rsidRPr="00BF0B71">
        <w:rPr>
          <w:color w:val="0D0D0D" w:themeColor="text1" w:themeTint="F2"/>
        </w:rPr>
        <w:t>поэтапной</w:t>
      </w:r>
      <w:r w:rsidRPr="0022129C">
        <w:rPr>
          <w:color w:val="0D0D0D" w:themeColor="text1" w:themeTint="F2"/>
        </w:rPr>
        <w:t xml:space="preserve"> замены приборов учета, и на них возложена обязаннос</w:t>
      </w:r>
      <w:r w:rsidR="00FB46CF" w:rsidRPr="0022129C">
        <w:rPr>
          <w:color w:val="0D0D0D" w:themeColor="text1" w:themeTint="F2"/>
        </w:rPr>
        <w:t xml:space="preserve">ть </w:t>
      </w:r>
      <w:r w:rsidR="00D0296E" w:rsidRPr="0022129C">
        <w:rPr>
          <w:color w:val="0D0D0D" w:themeColor="text1" w:themeTint="F2"/>
        </w:rPr>
        <w:t xml:space="preserve">приемки и </w:t>
      </w:r>
      <w:r w:rsidR="00FB46CF" w:rsidRPr="0022129C">
        <w:rPr>
          <w:color w:val="0D0D0D" w:themeColor="text1" w:themeTint="F2"/>
        </w:rPr>
        <w:t xml:space="preserve">ввода в эксплуатацию </w:t>
      </w:r>
      <w:r w:rsidR="00D0296E" w:rsidRPr="0022129C">
        <w:rPr>
          <w:color w:val="0D0D0D" w:themeColor="text1" w:themeTint="F2"/>
        </w:rPr>
        <w:t>счетчиков, установленных в новых жилых домах</w:t>
      </w:r>
      <w:r w:rsidR="00FB46CF" w:rsidRPr="0022129C">
        <w:rPr>
          <w:color w:val="0D0D0D" w:themeColor="text1" w:themeTint="F2"/>
        </w:rPr>
        <w:t>, ООО «Орловский энергосбыт» ведет системную информационную работу с з</w:t>
      </w:r>
      <w:r w:rsidR="00E0146B" w:rsidRPr="0022129C">
        <w:rPr>
          <w:color w:val="0D0D0D" w:themeColor="text1" w:themeTint="F2"/>
        </w:rPr>
        <w:t xml:space="preserve">астройщиками региона. Гарантирующий поставщик оказывает </w:t>
      </w:r>
      <w:r w:rsidR="00D0296E" w:rsidRPr="0022129C">
        <w:rPr>
          <w:color w:val="0D0D0D" w:themeColor="text1" w:themeTint="F2"/>
        </w:rPr>
        <w:t xml:space="preserve">консультационные </w:t>
      </w:r>
      <w:r w:rsidR="00E0146B" w:rsidRPr="0022129C">
        <w:rPr>
          <w:color w:val="0D0D0D" w:themeColor="text1" w:themeTint="F2"/>
        </w:rPr>
        <w:t xml:space="preserve">услуги </w:t>
      </w:r>
      <w:r w:rsidR="00D0296E" w:rsidRPr="0022129C">
        <w:rPr>
          <w:color w:val="0D0D0D" w:themeColor="text1" w:themeTint="F2"/>
        </w:rPr>
        <w:t xml:space="preserve">по выбору </w:t>
      </w:r>
      <w:r w:rsidR="00E0146B" w:rsidRPr="0022129C">
        <w:rPr>
          <w:color w:val="0D0D0D" w:themeColor="text1" w:themeTint="F2"/>
        </w:rPr>
        <w:t>приборов учета с оптимальными характеристиками как в плане соответствия требованиям законодательства</w:t>
      </w:r>
      <w:r w:rsidR="00D0296E" w:rsidRPr="0022129C">
        <w:rPr>
          <w:color w:val="0D0D0D" w:themeColor="text1" w:themeTint="F2"/>
        </w:rPr>
        <w:t xml:space="preserve">, так и в части надежности, </w:t>
      </w:r>
      <w:r w:rsidR="00E0146B" w:rsidRPr="0022129C">
        <w:rPr>
          <w:color w:val="0D0D0D" w:themeColor="text1" w:themeTint="F2"/>
        </w:rPr>
        <w:t xml:space="preserve">долговечности работы </w:t>
      </w:r>
      <w:r w:rsidR="00D0296E" w:rsidRPr="0022129C">
        <w:rPr>
          <w:color w:val="0D0D0D" w:themeColor="text1" w:themeTint="F2"/>
        </w:rPr>
        <w:t xml:space="preserve">и стоимости </w:t>
      </w:r>
      <w:r w:rsidR="00E0146B" w:rsidRPr="0022129C">
        <w:rPr>
          <w:color w:val="0D0D0D" w:themeColor="text1" w:themeTint="F2"/>
        </w:rPr>
        <w:t>обо</w:t>
      </w:r>
      <w:r w:rsidR="00D0296E" w:rsidRPr="0022129C">
        <w:rPr>
          <w:color w:val="0D0D0D" w:themeColor="text1" w:themeTint="F2"/>
        </w:rPr>
        <w:t xml:space="preserve">рудования, а также проводит работы по монтажу </w:t>
      </w:r>
      <w:r w:rsidR="00546C4F">
        <w:rPr>
          <w:color w:val="0D0D0D" w:themeColor="text1" w:themeTint="F2"/>
        </w:rPr>
        <w:t>АИИСКУЭ</w:t>
      </w:r>
      <w:r w:rsidR="00E0146B" w:rsidRPr="0022129C">
        <w:rPr>
          <w:color w:val="0D0D0D" w:themeColor="text1" w:themeTint="F2"/>
        </w:rPr>
        <w:t xml:space="preserve">. </w:t>
      </w:r>
    </w:p>
    <w:p w:rsidR="00E0146B" w:rsidRPr="0022129C" w:rsidRDefault="00E0146B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 xml:space="preserve">Рекомендации ООО «Орловский энергосбыт» основаны на практическом опыте по установке </w:t>
      </w:r>
      <w:r w:rsidR="00611B66" w:rsidRPr="0022129C">
        <w:rPr>
          <w:color w:val="0D0D0D" w:themeColor="text1" w:themeTint="F2"/>
        </w:rPr>
        <w:t>АИИСКУЭ</w:t>
      </w:r>
      <w:r w:rsidRPr="0022129C">
        <w:rPr>
          <w:color w:val="0D0D0D" w:themeColor="text1" w:themeTint="F2"/>
        </w:rPr>
        <w:t xml:space="preserve"> в </w:t>
      </w:r>
      <w:r w:rsidR="00546C4F">
        <w:rPr>
          <w:color w:val="0D0D0D" w:themeColor="text1" w:themeTint="F2"/>
        </w:rPr>
        <w:t>МКД</w:t>
      </w:r>
      <w:r w:rsidRPr="0022129C">
        <w:rPr>
          <w:color w:val="0D0D0D" w:themeColor="text1" w:themeTint="F2"/>
        </w:rPr>
        <w:t xml:space="preserve">. Впервые </w:t>
      </w:r>
      <w:r w:rsidR="006C6819" w:rsidRPr="0022129C">
        <w:rPr>
          <w:color w:val="0D0D0D" w:themeColor="text1" w:themeTint="F2"/>
        </w:rPr>
        <w:t>эта работа была проведена специалист</w:t>
      </w:r>
      <w:r w:rsidR="00B24EEA" w:rsidRPr="0022129C">
        <w:rPr>
          <w:color w:val="0D0D0D" w:themeColor="text1" w:themeTint="F2"/>
        </w:rPr>
        <w:t xml:space="preserve">ами компании в 2011 году. Для создания сети передачи данных был выбран интерфейс </w:t>
      </w:r>
      <w:r w:rsidR="00B24EEA" w:rsidRPr="0022129C">
        <w:rPr>
          <w:color w:val="0D0D0D" w:themeColor="text1" w:themeTint="F2"/>
          <w:lang w:val="en-US"/>
        </w:rPr>
        <w:t>RS</w:t>
      </w:r>
      <w:r w:rsidR="00B24EEA" w:rsidRPr="0022129C">
        <w:rPr>
          <w:color w:val="0D0D0D" w:themeColor="text1" w:themeTint="F2"/>
        </w:rPr>
        <w:t xml:space="preserve">-485. </w:t>
      </w:r>
      <w:r w:rsidR="000C0FC4" w:rsidRPr="0022129C">
        <w:rPr>
          <w:color w:val="0D0D0D" w:themeColor="text1" w:themeTint="F2"/>
        </w:rPr>
        <w:t>Сеть, построенная на данном интерфейсе, представлена</w:t>
      </w:r>
      <w:r w:rsidR="00B24EEA" w:rsidRPr="0022129C">
        <w:rPr>
          <w:color w:val="0D0D0D" w:themeColor="text1" w:themeTint="F2"/>
        </w:rPr>
        <w:t xml:space="preserve"> как система приемопередатчиков, связанных между собой при помощи витой пары</w:t>
      </w:r>
      <w:r w:rsidR="00DE3D6D" w:rsidRPr="0022129C">
        <w:rPr>
          <w:color w:val="0D0D0D" w:themeColor="text1" w:themeTint="F2"/>
        </w:rPr>
        <w:t>.</w:t>
      </w:r>
      <w:r w:rsidR="00B24EEA" w:rsidRPr="0022129C">
        <w:rPr>
          <w:color w:val="0D0D0D" w:themeColor="text1" w:themeTint="F2"/>
        </w:rPr>
        <w:t xml:space="preserve"> В основе </w:t>
      </w:r>
      <w:r w:rsidR="000C0FC4" w:rsidRPr="0022129C">
        <w:rPr>
          <w:color w:val="0D0D0D" w:themeColor="text1" w:themeTint="F2"/>
        </w:rPr>
        <w:t xml:space="preserve">ее действия </w:t>
      </w:r>
      <w:r w:rsidR="00B24EEA" w:rsidRPr="0022129C">
        <w:rPr>
          <w:color w:val="0D0D0D" w:themeColor="text1" w:themeTint="F2"/>
        </w:rPr>
        <w:t>лежи</w:t>
      </w:r>
      <w:r w:rsidR="000C0FC4" w:rsidRPr="0022129C">
        <w:rPr>
          <w:color w:val="0D0D0D" w:themeColor="text1" w:themeTint="F2"/>
        </w:rPr>
        <w:t>т</w:t>
      </w:r>
      <w:r w:rsidR="00B24EEA" w:rsidRPr="0022129C">
        <w:rPr>
          <w:color w:val="0D0D0D" w:themeColor="text1" w:themeTint="F2"/>
        </w:rPr>
        <w:t xml:space="preserve"> принцип дифференцированной передачи информации. </w:t>
      </w:r>
      <w:r w:rsidR="0073062C" w:rsidRPr="0022129C">
        <w:rPr>
          <w:color w:val="0D0D0D" w:themeColor="text1" w:themeTint="F2"/>
        </w:rPr>
        <w:t xml:space="preserve">При отсутствии опыта установки и использования такой сети создается впечатление, что она удобна, надежна и относительно </w:t>
      </w:r>
      <w:proofErr w:type="spellStart"/>
      <w:r w:rsidR="0073062C" w:rsidRPr="0022129C">
        <w:rPr>
          <w:color w:val="0D0D0D" w:themeColor="text1" w:themeTint="F2"/>
        </w:rPr>
        <w:t>бюджетна</w:t>
      </w:r>
      <w:proofErr w:type="spellEnd"/>
      <w:r w:rsidR="0073062C" w:rsidRPr="0022129C">
        <w:rPr>
          <w:color w:val="0D0D0D" w:themeColor="text1" w:themeTint="F2"/>
        </w:rPr>
        <w:t xml:space="preserve">. Однако на практике оказалось, что экономическая выгода при выборе интерфейса </w:t>
      </w:r>
      <w:r w:rsidR="0073062C" w:rsidRPr="0022129C">
        <w:rPr>
          <w:color w:val="0D0D0D" w:themeColor="text1" w:themeTint="F2"/>
          <w:lang w:val="en-US"/>
        </w:rPr>
        <w:t>RS</w:t>
      </w:r>
      <w:r w:rsidR="003B5D1F">
        <w:rPr>
          <w:color w:val="0D0D0D" w:themeColor="text1" w:themeTint="F2"/>
        </w:rPr>
        <w:t>-485 является не такой очевидной</w:t>
      </w:r>
      <w:r w:rsidR="0073062C" w:rsidRPr="0022129C">
        <w:rPr>
          <w:color w:val="0D0D0D" w:themeColor="text1" w:themeTint="F2"/>
        </w:rPr>
        <w:t xml:space="preserve">. При относительно низкой стоимости оборудования наблюдается высокий уровень </w:t>
      </w:r>
      <w:r w:rsidR="00EC774D" w:rsidRPr="00BF0B71">
        <w:rPr>
          <w:color w:val="0D0D0D" w:themeColor="text1" w:themeTint="F2"/>
        </w:rPr>
        <w:t>монтажных и эксплуатационных</w:t>
      </w:r>
      <w:r w:rsidR="00EC774D">
        <w:rPr>
          <w:color w:val="0D0D0D" w:themeColor="text1" w:themeTint="F2"/>
        </w:rPr>
        <w:t xml:space="preserve"> </w:t>
      </w:r>
      <w:r w:rsidR="0073062C" w:rsidRPr="0022129C">
        <w:rPr>
          <w:color w:val="0D0D0D" w:themeColor="text1" w:themeTint="F2"/>
        </w:rPr>
        <w:t>трудозатрат. Система сложна в монтаже (требуется протяжка провода по инженерным коммуни</w:t>
      </w:r>
      <w:r w:rsidR="00305C82" w:rsidRPr="0022129C">
        <w:rPr>
          <w:color w:val="0D0D0D" w:themeColor="text1" w:themeTint="F2"/>
        </w:rPr>
        <w:t>кациям, установка разветвителей, нескольких устройств сбора и передачи данных, маршрутизаторов</w:t>
      </w:r>
      <w:r w:rsidR="0073062C" w:rsidRPr="0022129C">
        <w:rPr>
          <w:color w:val="0D0D0D" w:themeColor="text1" w:themeTint="F2"/>
        </w:rPr>
        <w:t>)</w:t>
      </w:r>
      <w:r w:rsidR="00305C82" w:rsidRPr="0022129C">
        <w:rPr>
          <w:color w:val="0D0D0D" w:themeColor="text1" w:themeTint="F2"/>
        </w:rPr>
        <w:t xml:space="preserve">. </w:t>
      </w:r>
      <w:r w:rsidR="00E245CB" w:rsidRPr="0022129C">
        <w:rPr>
          <w:color w:val="0D0D0D" w:themeColor="text1" w:themeTint="F2"/>
        </w:rPr>
        <w:t xml:space="preserve">Возникают </w:t>
      </w:r>
      <w:r w:rsidR="003B5D1F">
        <w:rPr>
          <w:color w:val="0D0D0D" w:themeColor="text1" w:themeTint="F2"/>
        </w:rPr>
        <w:t>трудности</w:t>
      </w:r>
      <w:r w:rsidR="00E245CB" w:rsidRPr="0022129C">
        <w:rPr>
          <w:color w:val="0D0D0D" w:themeColor="text1" w:themeTint="F2"/>
        </w:rPr>
        <w:t xml:space="preserve"> также и в процессе проведения других коммуникаций. Например, при протяжке интернет-кабелей возможно повреждение витой пары, что может привести к сбою в работе </w:t>
      </w:r>
      <w:r w:rsidR="00611B66" w:rsidRPr="0022129C">
        <w:rPr>
          <w:color w:val="0D0D0D" w:themeColor="text1" w:themeTint="F2"/>
        </w:rPr>
        <w:t>системы АИИСКУ</w:t>
      </w:r>
      <w:r w:rsidR="003112D5" w:rsidRPr="0022129C">
        <w:rPr>
          <w:color w:val="0D0D0D" w:themeColor="text1" w:themeTint="F2"/>
        </w:rPr>
        <w:t xml:space="preserve">Э в целом. </w:t>
      </w:r>
      <w:r w:rsidR="00E245CB" w:rsidRPr="0022129C">
        <w:rPr>
          <w:color w:val="0D0D0D" w:themeColor="text1" w:themeTint="F2"/>
        </w:rPr>
        <w:t xml:space="preserve"> </w:t>
      </w:r>
    </w:p>
    <w:p w:rsidR="00B74DB4" w:rsidRPr="0022129C" w:rsidRDefault="00294840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>С</w:t>
      </w:r>
      <w:r w:rsidR="00CA6F04" w:rsidRPr="0022129C">
        <w:rPr>
          <w:color w:val="0D0D0D" w:themeColor="text1" w:themeTint="F2"/>
        </w:rPr>
        <w:t>пециалисты ООО «Орловский энер</w:t>
      </w:r>
      <w:r w:rsidR="00B51346">
        <w:rPr>
          <w:color w:val="0D0D0D" w:themeColor="text1" w:themeTint="F2"/>
        </w:rPr>
        <w:t xml:space="preserve">госбыт» </w:t>
      </w:r>
      <w:r w:rsidR="00B51346" w:rsidRPr="00CE579F">
        <w:rPr>
          <w:color w:val="0D0D0D" w:themeColor="text1" w:themeTint="F2"/>
        </w:rPr>
        <w:t>изучили оборудование разных производителей,</w:t>
      </w:r>
      <w:r w:rsidR="00B51346">
        <w:rPr>
          <w:color w:val="0D0D0D" w:themeColor="text1" w:themeTint="F2"/>
        </w:rPr>
        <w:t xml:space="preserve"> представленное</w:t>
      </w:r>
      <w:r w:rsidR="00CA6F04" w:rsidRPr="0022129C">
        <w:rPr>
          <w:color w:val="0D0D0D" w:themeColor="text1" w:themeTint="F2"/>
        </w:rPr>
        <w:t xml:space="preserve"> на тот момент на рынке</w:t>
      </w:r>
      <w:r w:rsidR="00611B66" w:rsidRPr="0022129C">
        <w:rPr>
          <w:color w:val="0D0D0D" w:themeColor="text1" w:themeTint="F2"/>
        </w:rPr>
        <w:t>,</w:t>
      </w:r>
      <w:r w:rsidR="00CA6F04" w:rsidRPr="0022129C">
        <w:rPr>
          <w:color w:val="0D0D0D" w:themeColor="text1" w:themeTint="F2"/>
        </w:rPr>
        <w:t xml:space="preserve"> и</w:t>
      </w:r>
      <w:r w:rsidR="00875479" w:rsidRPr="0022129C">
        <w:rPr>
          <w:color w:val="0D0D0D" w:themeColor="text1" w:themeTint="F2"/>
        </w:rPr>
        <w:t xml:space="preserve"> в дальнейшем</w:t>
      </w:r>
      <w:r w:rsidR="00611B66" w:rsidRPr="0022129C">
        <w:rPr>
          <w:color w:val="0D0D0D" w:themeColor="text1" w:themeTint="F2"/>
        </w:rPr>
        <w:t>,</w:t>
      </w:r>
      <w:r w:rsidR="00875479" w:rsidRPr="0022129C">
        <w:rPr>
          <w:color w:val="0D0D0D" w:themeColor="text1" w:themeTint="F2"/>
        </w:rPr>
        <w:t xml:space="preserve"> с развитием технологий в сфере автоматизированного процесса сбора информации с приборов учета </w:t>
      </w:r>
      <w:r w:rsidR="00EC774D" w:rsidRPr="00BF0B71">
        <w:rPr>
          <w:color w:val="0D0D0D" w:themeColor="text1" w:themeTint="F2"/>
        </w:rPr>
        <w:t>электроэнергии</w:t>
      </w:r>
      <w:r w:rsidR="005C3B8F" w:rsidRPr="0022129C">
        <w:rPr>
          <w:color w:val="0D0D0D" w:themeColor="text1" w:themeTint="F2"/>
        </w:rPr>
        <w:t>,</w:t>
      </w:r>
      <w:r w:rsidR="00CA6F04" w:rsidRPr="0022129C">
        <w:rPr>
          <w:color w:val="0D0D0D" w:themeColor="text1" w:themeTint="F2"/>
        </w:rPr>
        <w:t xml:space="preserve"> выбрали вариант, который используется при установке АИИСКУЭ в новых домах </w:t>
      </w:r>
      <w:r w:rsidR="008A7A02" w:rsidRPr="0022129C">
        <w:rPr>
          <w:color w:val="0D0D0D" w:themeColor="text1" w:themeTint="F2"/>
        </w:rPr>
        <w:t xml:space="preserve">и </w:t>
      </w:r>
      <w:r w:rsidR="005C3B8F" w:rsidRPr="0022129C">
        <w:rPr>
          <w:color w:val="0D0D0D" w:themeColor="text1" w:themeTint="F2"/>
        </w:rPr>
        <w:t>модерниза</w:t>
      </w:r>
      <w:r w:rsidR="00A847E5" w:rsidRPr="0022129C">
        <w:rPr>
          <w:color w:val="0D0D0D" w:themeColor="text1" w:themeTint="F2"/>
        </w:rPr>
        <w:t>ции систем учета в имеющихся МКД в настоящее время</w:t>
      </w:r>
      <w:r w:rsidR="005C3B8F" w:rsidRPr="0022129C">
        <w:rPr>
          <w:color w:val="0D0D0D" w:themeColor="text1" w:themeTint="F2"/>
        </w:rPr>
        <w:t>.</w:t>
      </w:r>
    </w:p>
    <w:p w:rsidR="0022129C" w:rsidRDefault="008A7A02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  <w:shd w:val="clear" w:color="auto" w:fill="FFFFFF"/>
        </w:rPr>
      </w:pPr>
      <w:r w:rsidRPr="0022129C">
        <w:rPr>
          <w:color w:val="0D0D0D" w:themeColor="text1" w:themeTint="F2"/>
        </w:rPr>
        <w:t xml:space="preserve">Оборудование, произведенное </w:t>
      </w:r>
      <w:r w:rsidR="00A5589D" w:rsidRPr="0022129C">
        <w:rPr>
          <w:color w:val="0D0D0D" w:themeColor="text1" w:themeTint="F2"/>
        </w:rPr>
        <w:t xml:space="preserve">компаниями </w:t>
      </w:r>
      <w:r w:rsidR="00A847E5" w:rsidRPr="0022129C">
        <w:rPr>
          <w:color w:val="0D0D0D" w:themeColor="text1" w:themeTint="F2"/>
        </w:rPr>
        <w:t>ООО «</w:t>
      </w:r>
      <w:proofErr w:type="spellStart"/>
      <w:r w:rsidR="00A847E5" w:rsidRPr="0022129C">
        <w:rPr>
          <w:color w:val="0D0D0D" w:themeColor="text1" w:themeTint="F2"/>
        </w:rPr>
        <w:t>Тай</w:t>
      </w:r>
      <w:r w:rsidR="00A5589D" w:rsidRPr="0022129C">
        <w:rPr>
          <w:color w:val="0D0D0D" w:themeColor="text1" w:themeTint="F2"/>
        </w:rPr>
        <w:t>пит</w:t>
      </w:r>
      <w:proofErr w:type="spellEnd"/>
      <w:r w:rsidR="004500A7" w:rsidRPr="0022129C">
        <w:rPr>
          <w:color w:val="0D0D0D" w:themeColor="text1" w:themeTint="F2"/>
        </w:rPr>
        <w:t xml:space="preserve"> - ИП</w:t>
      </w:r>
      <w:r w:rsidR="00A5589D" w:rsidRPr="0022129C">
        <w:rPr>
          <w:color w:val="0D0D0D" w:themeColor="text1" w:themeTint="F2"/>
        </w:rPr>
        <w:t>»</w:t>
      </w:r>
      <w:r w:rsidR="004500A7" w:rsidRPr="0022129C">
        <w:rPr>
          <w:color w:val="0D0D0D" w:themeColor="text1" w:themeTint="F2"/>
        </w:rPr>
        <w:t xml:space="preserve"> (электросчетчики «НЕВА») и АО «Электротехнические заводы «</w:t>
      </w:r>
      <w:proofErr w:type="spellStart"/>
      <w:r w:rsidRPr="0022129C">
        <w:rPr>
          <w:color w:val="0D0D0D" w:themeColor="text1" w:themeTint="F2"/>
        </w:rPr>
        <w:t>Энергомера</w:t>
      </w:r>
      <w:proofErr w:type="spellEnd"/>
      <w:r w:rsidRPr="0022129C">
        <w:rPr>
          <w:color w:val="0D0D0D" w:themeColor="text1" w:themeTint="F2"/>
        </w:rPr>
        <w:t>»</w:t>
      </w:r>
      <w:r w:rsidR="000D0102" w:rsidRPr="0022129C">
        <w:rPr>
          <w:color w:val="0D0D0D" w:themeColor="text1" w:themeTint="F2"/>
        </w:rPr>
        <w:t>,</w:t>
      </w:r>
      <w:r w:rsidRPr="0022129C">
        <w:rPr>
          <w:color w:val="0D0D0D" w:themeColor="text1" w:themeTint="F2"/>
        </w:rPr>
        <w:t xml:space="preserve"> </w:t>
      </w:r>
      <w:r w:rsidR="004500A7" w:rsidRPr="0022129C">
        <w:rPr>
          <w:color w:val="0D0D0D" w:themeColor="text1" w:themeTint="F2"/>
        </w:rPr>
        <w:t xml:space="preserve">наиболее полно отражает возможности </w:t>
      </w:r>
      <w:r w:rsidR="00F063B7" w:rsidRPr="0022129C">
        <w:rPr>
          <w:color w:val="0D0D0D" w:themeColor="text1" w:themeTint="F2"/>
        </w:rPr>
        <w:t xml:space="preserve">и выполняет задачи </w:t>
      </w:r>
      <w:r w:rsidR="004500A7" w:rsidRPr="0022129C">
        <w:rPr>
          <w:color w:val="0D0D0D" w:themeColor="text1" w:themeTint="F2"/>
        </w:rPr>
        <w:t xml:space="preserve">современного </w:t>
      </w:r>
      <w:r w:rsidRPr="0022129C">
        <w:rPr>
          <w:color w:val="0D0D0D" w:themeColor="text1" w:themeTint="F2"/>
        </w:rPr>
        <w:t xml:space="preserve">интеллектуального </w:t>
      </w:r>
      <w:r w:rsidR="000D0102" w:rsidRPr="0022129C">
        <w:rPr>
          <w:color w:val="0D0D0D" w:themeColor="text1" w:themeTint="F2"/>
        </w:rPr>
        <w:t>учета</w:t>
      </w:r>
      <w:r w:rsidR="00F063B7" w:rsidRPr="0022129C">
        <w:rPr>
          <w:color w:val="0D0D0D" w:themeColor="text1" w:themeTint="F2"/>
        </w:rPr>
        <w:t>.</w:t>
      </w:r>
      <w:r w:rsidR="001C2904" w:rsidRPr="0022129C">
        <w:rPr>
          <w:color w:val="0D0D0D" w:themeColor="text1" w:themeTint="F2"/>
        </w:rPr>
        <w:t xml:space="preserve"> </w:t>
      </w:r>
      <w:r w:rsidR="00F063B7" w:rsidRPr="0022129C">
        <w:rPr>
          <w:color w:val="0D0D0D" w:themeColor="text1" w:themeTint="F2"/>
        </w:rPr>
        <w:t xml:space="preserve"> </w:t>
      </w:r>
      <w:r w:rsidR="00361A99" w:rsidRPr="0022129C">
        <w:rPr>
          <w:color w:val="0D0D0D" w:themeColor="text1" w:themeTint="F2"/>
        </w:rPr>
        <w:t xml:space="preserve">Для передачи данных в АИИСКУЭ такого вида </w:t>
      </w:r>
      <w:r w:rsidR="006B473B" w:rsidRPr="00CE579F">
        <w:rPr>
          <w:color w:val="0D0D0D" w:themeColor="text1" w:themeTint="F2"/>
        </w:rPr>
        <w:t>использую</w:t>
      </w:r>
      <w:r w:rsidR="000D0102" w:rsidRPr="00CE579F">
        <w:rPr>
          <w:color w:val="0D0D0D" w:themeColor="text1" w:themeTint="F2"/>
        </w:rPr>
        <w:t xml:space="preserve">тся </w:t>
      </w:r>
      <w:r w:rsidR="00317B4F" w:rsidRPr="00CE579F">
        <w:rPr>
          <w:color w:val="0D0D0D" w:themeColor="text1" w:themeTint="F2"/>
        </w:rPr>
        <w:t>канал</w:t>
      </w:r>
      <w:r w:rsidR="006B473B" w:rsidRPr="00CE579F">
        <w:rPr>
          <w:color w:val="0D0D0D" w:themeColor="text1" w:themeTint="F2"/>
        </w:rPr>
        <w:t>ы связи с</w:t>
      </w:r>
      <w:r w:rsidR="00317B4F" w:rsidRPr="00CE579F">
        <w:rPr>
          <w:color w:val="0D0D0D" w:themeColor="text1" w:themeTint="F2"/>
        </w:rPr>
        <w:t xml:space="preserve"> т</w:t>
      </w:r>
      <w:r w:rsidR="000D0102" w:rsidRPr="00CE579F">
        <w:rPr>
          <w:color w:val="0D0D0D" w:themeColor="text1" w:themeTint="F2"/>
        </w:rPr>
        <w:t>ехнологи</w:t>
      </w:r>
      <w:r w:rsidR="006B473B" w:rsidRPr="00CE579F">
        <w:rPr>
          <w:color w:val="0D0D0D" w:themeColor="text1" w:themeTint="F2"/>
        </w:rPr>
        <w:t>ей</w:t>
      </w:r>
      <w:r w:rsidR="000D0102" w:rsidRPr="00CE579F">
        <w:rPr>
          <w:color w:val="0D0D0D" w:themeColor="text1" w:themeTint="F2"/>
        </w:rPr>
        <w:t xml:space="preserve"> обмена данными </w:t>
      </w:r>
      <w:r w:rsidR="000D0102" w:rsidRPr="00CE579F">
        <w:rPr>
          <w:color w:val="0D0D0D" w:themeColor="text1" w:themeTint="F2"/>
          <w:lang w:val="en-US"/>
        </w:rPr>
        <w:t>PLC</w:t>
      </w:r>
      <w:r w:rsidR="00453490" w:rsidRPr="00CE579F">
        <w:rPr>
          <w:rStyle w:val="ad"/>
          <w:color w:val="0D0D0D" w:themeColor="text1" w:themeTint="F2"/>
          <w:lang w:val="en-US"/>
        </w:rPr>
        <w:footnoteReference w:id="6"/>
      </w:r>
      <w:r w:rsidR="00317B4F" w:rsidRPr="00CE579F">
        <w:rPr>
          <w:color w:val="0D0D0D" w:themeColor="text1" w:themeTint="F2"/>
          <w:shd w:val="clear" w:color="auto" w:fill="FFFFFF"/>
        </w:rPr>
        <w:t xml:space="preserve"> </w:t>
      </w:r>
      <w:r w:rsidR="00317B4F" w:rsidRPr="00CE579F">
        <w:rPr>
          <w:color w:val="0D0D0D" w:themeColor="text1" w:themeTint="F2"/>
        </w:rPr>
        <w:t>и</w:t>
      </w:r>
      <w:r w:rsidR="006B473B" w:rsidRPr="00CE579F">
        <w:rPr>
          <w:color w:val="0D0D0D" w:themeColor="text1" w:themeTint="F2"/>
        </w:rPr>
        <w:t>ли</w:t>
      </w:r>
      <w:r w:rsidR="00317B4F" w:rsidRPr="00CE579F">
        <w:rPr>
          <w:color w:val="0D0D0D" w:themeColor="text1" w:themeTint="F2"/>
        </w:rPr>
        <w:t xml:space="preserve"> </w:t>
      </w:r>
      <w:r w:rsidR="00A618D1" w:rsidRPr="00CE579F">
        <w:rPr>
          <w:color w:val="0D0D0D" w:themeColor="text1" w:themeTint="F2"/>
        </w:rPr>
        <w:t>с применением</w:t>
      </w:r>
      <w:r w:rsidR="006B473B" w:rsidRPr="00CE579F">
        <w:rPr>
          <w:color w:val="0D0D0D" w:themeColor="text1" w:themeTint="F2"/>
        </w:rPr>
        <w:t xml:space="preserve"> </w:t>
      </w:r>
      <w:proofErr w:type="spellStart"/>
      <w:r w:rsidR="006B473B" w:rsidRPr="00CE579F">
        <w:rPr>
          <w:color w:val="0D0D0D" w:themeColor="text1" w:themeTint="F2"/>
        </w:rPr>
        <w:t>радиомодуля</w:t>
      </w:r>
      <w:proofErr w:type="spellEnd"/>
      <w:r w:rsidR="00317B4F" w:rsidRPr="00CE579F">
        <w:rPr>
          <w:color w:val="0D0D0D" w:themeColor="text1" w:themeTint="F2"/>
        </w:rPr>
        <w:t xml:space="preserve"> </w:t>
      </w:r>
      <w:r w:rsidR="00164633" w:rsidRPr="00CE579F">
        <w:rPr>
          <w:color w:val="0D0D0D" w:themeColor="text1" w:themeTint="F2"/>
        </w:rPr>
        <w:t xml:space="preserve">с </w:t>
      </w:r>
      <w:r w:rsidR="00A916D7" w:rsidRPr="00CE579F">
        <w:rPr>
          <w:color w:val="0D0D0D" w:themeColor="text1" w:themeTint="F2"/>
        </w:rPr>
        <w:t>частотой</w:t>
      </w:r>
      <w:r w:rsidR="00164633" w:rsidRPr="00CE579F">
        <w:rPr>
          <w:color w:val="0D0D0D" w:themeColor="text1" w:themeTint="F2"/>
        </w:rPr>
        <w:t xml:space="preserve"> 433</w:t>
      </w:r>
      <w:r w:rsidR="00F063B7" w:rsidRPr="00CE579F">
        <w:rPr>
          <w:color w:val="0D0D0D" w:themeColor="text1" w:themeTint="F2"/>
        </w:rPr>
        <w:t xml:space="preserve"> </w:t>
      </w:r>
      <w:r w:rsidR="00164633" w:rsidRPr="00CE579F">
        <w:rPr>
          <w:color w:val="0D0D0D" w:themeColor="text1" w:themeTint="F2"/>
        </w:rPr>
        <w:t>М</w:t>
      </w:r>
      <w:r w:rsidR="00F11575" w:rsidRPr="00CE579F">
        <w:rPr>
          <w:color w:val="0D0D0D" w:themeColor="text1" w:themeTint="F2"/>
        </w:rPr>
        <w:t>Г</w:t>
      </w:r>
      <w:r w:rsidR="00164633" w:rsidRPr="00CE579F">
        <w:rPr>
          <w:color w:val="0D0D0D" w:themeColor="text1" w:themeTint="F2"/>
        </w:rPr>
        <w:t>ц</w:t>
      </w:r>
      <w:r w:rsidR="00A916D7" w:rsidRPr="00CE579F">
        <w:rPr>
          <w:color w:val="0D0D0D" w:themeColor="text1" w:themeTint="F2"/>
        </w:rPr>
        <w:t xml:space="preserve"> в</w:t>
      </w:r>
      <w:r w:rsidR="006B473B" w:rsidRPr="00CE579F">
        <w:rPr>
          <w:color w:val="0D0D0D" w:themeColor="text1" w:themeTint="F2"/>
        </w:rPr>
        <w:t xml:space="preserve"> самом приборе учета, а также комбинированный способ передачи данных, когда два указанных канала применяются одновременно.</w:t>
      </w:r>
      <w:r w:rsidR="00317B4F" w:rsidRPr="00CE579F">
        <w:rPr>
          <w:color w:val="0D0D0D" w:themeColor="text1" w:themeTint="F2"/>
        </w:rPr>
        <w:t xml:space="preserve"> </w:t>
      </w:r>
      <w:r w:rsidR="00DF5AC6" w:rsidRPr="00CE579F">
        <w:rPr>
          <w:color w:val="0D0D0D" w:themeColor="text1" w:themeTint="F2"/>
        </w:rPr>
        <w:t>Удобство э</w:t>
      </w:r>
      <w:r w:rsidR="006B473B" w:rsidRPr="00CE579F">
        <w:rPr>
          <w:color w:val="0D0D0D" w:themeColor="text1" w:themeTint="F2"/>
        </w:rPr>
        <w:t>тих способов</w:t>
      </w:r>
      <w:r w:rsidR="00317B4F" w:rsidRPr="00CE579F">
        <w:rPr>
          <w:color w:val="0D0D0D" w:themeColor="text1" w:themeTint="F2"/>
        </w:rPr>
        <w:t xml:space="preserve"> обмена </w:t>
      </w:r>
      <w:r w:rsidR="00D67E15" w:rsidRPr="00CE579F">
        <w:rPr>
          <w:color w:val="0D0D0D" w:themeColor="text1" w:themeTint="F2"/>
        </w:rPr>
        <w:t>информацией</w:t>
      </w:r>
      <w:r w:rsidR="00D67E15" w:rsidRPr="0022129C">
        <w:rPr>
          <w:color w:val="0D0D0D" w:themeColor="text1" w:themeTint="F2"/>
        </w:rPr>
        <w:t>,</w:t>
      </w:r>
      <w:r w:rsidR="00317B4F" w:rsidRPr="0022129C">
        <w:rPr>
          <w:color w:val="0D0D0D" w:themeColor="text1" w:themeTint="F2"/>
        </w:rPr>
        <w:t xml:space="preserve"> прежде всего</w:t>
      </w:r>
      <w:r w:rsidR="00D67E15" w:rsidRPr="0022129C">
        <w:rPr>
          <w:color w:val="0D0D0D" w:themeColor="text1" w:themeTint="F2"/>
        </w:rPr>
        <w:t>,</w:t>
      </w:r>
      <w:r w:rsidR="00317B4F" w:rsidRPr="0022129C">
        <w:rPr>
          <w:color w:val="0D0D0D" w:themeColor="text1" w:themeTint="F2"/>
        </w:rPr>
        <w:t xml:space="preserve"> в том</w:t>
      </w:r>
      <w:r w:rsidR="00DF5AC6" w:rsidRPr="0022129C">
        <w:rPr>
          <w:color w:val="0D0D0D" w:themeColor="text1" w:themeTint="F2"/>
        </w:rPr>
        <w:t xml:space="preserve">, что отсутствует возможность </w:t>
      </w:r>
      <w:r w:rsidR="008A557F" w:rsidRPr="0022129C">
        <w:rPr>
          <w:color w:val="0D0D0D" w:themeColor="text1" w:themeTint="F2"/>
        </w:rPr>
        <w:t xml:space="preserve">механического или иного </w:t>
      </w:r>
      <w:r w:rsidR="00DF5AC6" w:rsidRPr="0022129C">
        <w:rPr>
          <w:color w:val="0D0D0D" w:themeColor="text1" w:themeTint="F2"/>
        </w:rPr>
        <w:t>повреждения канала связи</w:t>
      </w:r>
      <w:r w:rsidR="008A557F" w:rsidRPr="0022129C">
        <w:rPr>
          <w:color w:val="0D0D0D" w:themeColor="text1" w:themeTint="F2"/>
        </w:rPr>
        <w:t>, как бывает в проводном способе передач</w:t>
      </w:r>
      <w:r w:rsidR="00D67E15" w:rsidRPr="0022129C">
        <w:rPr>
          <w:color w:val="0D0D0D" w:themeColor="text1" w:themeTint="F2"/>
        </w:rPr>
        <w:t>и</w:t>
      </w:r>
      <w:r w:rsidR="008A557F" w:rsidRPr="0022129C">
        <w:rPr>
          <w:color w:val="0D0D0D" w:themeColor="text1" w:themeTint="F2"/>
        </w:rPr>
        <w:t xml:space="preserve"> данных</w:t>
      </w:r>
      <w:r w:rsidR="0035543E">
        <w:rPr>
          <w:color w:val="0D0D0D" w:themeColor="text1" w:themeTint="F2"/>
        </w:rPr>
        <w:t xml:space="preserve"> на </w:t>
      </w:r>
      <w:r w:rsidR="0035543E" w:rsidRPr="0035543E">
        <w:rPr>
          <w:color w:val="0D0D0D" w:themeColor="text1" w:themeTint="F2"/>
        </w:rPr>
        <w:t>RS-485</w:t>
      </w:r>
      <w:r w:rsidR="008A557F" w:rsidRPr="0022129C">
        <w:rPr>
          <w:color w:val="0D0D0D" w:themeColor="text1" w:themeTint="F2"/>
        </w:rPr>
        <w:t>, а также в отсутствии</w:t>
      </w:r>
      <w:r w:rsidR="00DF5AC6" w:rsidRPr="0022129C">
        <w:rPr>
          <w:color w:val="0D0D0D" w:themeColor="text1" w:themeTint="F2"/>
        </w:rPr>
        <w:t xml:space="preserve"> разнообразно</w:t>
      </w:r>
      <w:r w:rsidR="008A557F" w:rsidRPr="0022129C">
        <w:rPr>
          <w:color w:val="0D0D0D" w:themeColor="text1" w:themeTint="F2"/>
        </w:rPr>
        <w:t xml:space="preserve">го и многочисленного </w:t>
      </w:r>
      <w:r w:rsidR="00474563" w:rsidRPr="00BF0B71">
        <w:rPr>
          <w:color w:val="0D0D0D" w:themeColor="text1" w:themeTint="F2"/>
        </w:rPr>
        <w:t>вспомогательного</w:t>
      </w:r>
      <w:r w:rsidR="008A557F" w:rsidRPr="0022129C">
        <w:rPr>
          <w:color w:val="0D0D0D" w:themeColor="text1" w:themeTint="F2"/>
        </w:rPr>
        <w:t xml:space="preserve"> оборудования</w:t>
      </w:r>
      <w:r w:rsidR="00DF5AC6" w:rsidRPr="0022129C">
        <w:rPr>
          <w:color w:val="0D0D0D" w:themeColor="text1" w:themeTint="F2"/>
        </w:rPr>
        <w:t>, требующе</w:t>
      </w:r>
      <w:r w:rsidR="008A557F" w:rsidRPr="0022129C">
        <w:rPr>
          <w:color w:val="0D0D0D" w:themeColor="text1" w:themeTint="F2"/>
        </w:rPr>
        <w:t>го</w:t>
      </w:r>
      <w:r w:rsidR="00DF5AC6" w:rsidRPr="0022129C">
        <w:rPr>
          <w:color w:val="0D0D0D" w:themeColor="text1" w:themeTint="F2"/>
        </w:rPr>
        <w:t xml:space="preserve"> до</w:t>
      </w:r>
      <w:r w:rsidR="008A557F" w:rsidRPr="0022129C">
        <w:rPr>
          <w:color w:val="0D0D0D" w:themeColor="text1" w:themeTint="F2"/>
        </w:rPr>
        <w:t xml:space="preserve">полнительного времени на монтаж. </w:t>
      </w:r>
      <w:r w:rsidR="00F063B7" w:rsidRPr="00CE579F">
        <w:rPr>
          <w:color w:val="0D0D0D" w:themeColor="text1" w:themeTint="F2"/>
        </w:rPr>
        <w:t>Важно</w:t>
      </w:r>
      <w:r w:rsidR="00BF1778" w:rsidRPr="00CE579F">
        <w:rPr>
          <w:color w:val="0D0D0D" w:themeColor="text1" w:themeTint="F2"/>
        </w:rPr>
        <w:t xml:space="preserve"> и то, что</w:t>
      </w:r>
      <w:r w:rsidR="00F063B7" w:rsidRPr="00CE579F">
        <w:rPr>
          <w:color w:val="0D0D0D" w:themeColor="text1" w:themeTint="F2"/>
        </w:rPr>
        <w:t xml:space="preserve"> </w:t>
      </w:r>
      <w:r w:rsidR="0035543E" w:rsidRPr="00CE579F">
        <w:rPr>
          <w:color w:val="0D0D0D" w:themeColor="text1" w:themeTint="F2"/>
        </w:rPr>
        <w:t xml:space="preserve">при комбинированном способе </w:t>
      </w:r>
      <w:r w:rsidR="00DD3002" w:rsidRPr="00CE579F">
        <w:rPr>
          <w:color w:val="0D0D0D" w:themeColor="text1" w:themeTint="F2"/>
        </w:rPr>
        <w:t xml:space="preserve">канал связи </w:t>
      </w:r>
      <w:r w:rsidR="00D84537" w:rsidRPr="00CE579F">
        <w:rPr>
          <w:color w:val="0D0D0D" w:themeColor="text1" w:themeTint="F2"/>
        </w:rPr>
        <w:t>дублируется (при отсутс</w:t>
      </w:r>
      <w:r w:rsidR="00F063B7" w:rsidRPr="00CE579F">
        <w:rPr>
          <w:color w:val="0D0D0D" w:themeColor="text1" w:themeTint="F2"/>
        </w:rPr>
        <w:t>т</w:t>
      </w:r>
      <w:r w:rsidR="00D84537" w:rsidRPr="00CE579F">
        <w:rPr>
          <w:color w:val="0D0D0D" w:themeColor="text1" w:themeTint="F2"/>
        </w:rPr>
        <w:t>вии сигнала с PLC, а</w:t>
      </w:r>
      <w:r w:rsidR="001524B4" w:rsidRPr="00CE579F">
        <w:rPr>
          <w:color w:val="0D0D0D" w:themeColor="text1" w:themeTint="F2"/>
        </w:rPr>
        <w:t xml:space="preserve">втоматически </w:t>
      </w:r>
      <w:r w:rsidR="00F063B7" w:rsidRPr="00CE579F">
        <w:rPr>
          <w:color w:val="0D0D0D" w:themeColor="text1" w:themeTint="F2"/>
        </w:rPr>
        <w:t>вступает в действие</w:t>
      </w:r>
      <w:r w:rsidR="001524B4" w:rsidRPr="00CE579F">
        <w:rPr>
          <w:color w:val="0D0D0D" w:themeColor="text1" w:themeTint="F2"/>
        </w:rPr>
        <w:t xml:space="preserve"> </w:t>
      </w:r>
      <w:proofErr w:type="spellStart"/>
      <w:r w:rsidR="001524B4" w:rsidRPr="00CE579F">
        <w:rPr>
          <w:color w:val="0D0D0D" w:themeColor="text1" w:themeTint="F2"/>
        </w:rPr>
        <w:t>радиомодуль</w:t>
      </w:r>
      <w:proofErr w:type="spellEnd"/>
      <w:r w:rsidR="00F063B7" w:rsidRPr="00CE579F">
        <w:rPr>
          <w:color w:val="0D0D0D" w:themeColor="text1" w:themeTint="F2"/>
        </w:rPr>
        <w:t xml:space="preserve"> счетчика</w:t>
      </w:r>
      <w:r w:rsidR="0035543E" w:rsidRPr="00CE579F">
        <w:rPr>
          <w:color w:val="0D0D0D" w:themeColor="text1" w:themeTint="F2"/>
        </w:rPr>
        <w:t>)</w:t>
      </w:r>
      <w:r w:rsidR="001524B4" w:rsidRPr="00CE579F">
        <w:rPr>
          <w:color w:val="0D0D0D" w:themeColor="text1" w:themeTint="F2"/>
        </w:rPr>
        <w:t>.</w:t>
      </w:r>
      <w:r w:rsidR="00B816D2" w:rsidRPr="0022129C">
        <w:rPr>
          <w:color w:val="0D0D0D" w:themeColor="text1" w:themeTint="F2"/>
          <w:shd w:val="clear" w:color="auto" w:fill="FFFFFF"/>
        </w:rPr>
        <w:t xml:space="preserve"> </w:t>
      </w:r>
    </w:p>
    <w:p w:rsidR="00357176" w:rsidRDefault="00357176" w:rsidP="0035717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22129C">
        <w:rPr>
          <w:color w:val="0D0D0D" w:themeColor="text1" w:themeTint="F2"/>
        </w:rPr>
        <w:t xml:space="preserve">Таким образом, установка АИИСКУЭ на основе канала </w:t>
      </w:r>
      <w:r w:rsidRPr="0022129C">
        <w:rPr>
          <w:color w:val="0D0D0D" w:themeColor="text1" w:themeTint="F2"/>
          <w:lang w:val="en-US"/>
        </w:rPr>
        <w:t>PLC</w:t>
      </w:r>
      <w:r w:rsidRPr="0022129C">
        <w:rPr>
          <w:color w:val="0D0D0D" w:themeColor="text1" w:themeTint="F2"/>
        </w:rPr>
        <w:t xml:space="preserve">, несмотря на кажущуюся дороговизну (почти вполовину дороже </w:t>
      </w:r>
      <w:r w:rsidRPr="0022129C">
        <w:rPr>
          <w:color w:val="0D0D0D" w:themeColor="text1" w:themeTint="F2"/>
          <w:lang w:val="en-US"/>
        </w:rPr>
        <w:t>RS</w:t>
      </w:r>
      <w:r w:rsidRPr="0022129C">
        <w:rPr>
          <w:color w:val="0D0D0D" w:themeColor="text1" w:themeTint="F2"/>
        </w:rPr>
        <w:t xml:space="preserve">-485), в перспективе обслуживания оказывается более выгодной инвестицией в точный интеллектуальный учет. Она не требует </w:t>
      </w:r>
      <w:r w:rsidRPr="0022129C">
        <w:rPr>
          <w:color w:val="0D0D0D" w:themeColor="text1" w:themeTint="F2"/>
        </w:rPr>
        <w:lastRenderedPageBreak/>
        <w:t xml:space="preserve">профилактического обслуживания, не несет в себе рисков дополнительных потерь электроэнергии, оперативно передает большие объемы данных. Система обладает высокой помехоустойчивостью, что позволяет обеспечить корректный сбор данных. Профилактическое обслуживание такой АИИСКУЭ состоит в периодической замене элементов питания (батареек) в счетчике, </w:t>
      </w:r>
      <w:proofErr w:type="gramStart"/>
      <w:r w:rsidRPr="0022129C">
        <w:rPr>
          <w:color w:val="0D0D0D" w:themeColor="text1" w:themeTint="F2"/>
        </w:rPr>
        <w:t>потребность</w:t>
      </w:r>
      <w:proofErr w:type="gramEnd"/>
      <w:r w:rsidRPr="0022129C">
        <w:rPr>
          <w:color w:val="0D0D0D" w:themeColor="text1" w:themeTint="F2"/>
        </w:rPr>
        <w:t xml:space="preserve"> в которой возникает нечасто. Сигнал о возникшей проблеме можно увидеть в режиме реального времени: в программе сбора данных номер прибора учета, который требует внимания специалиста, подсвечивается красным цветом. Поэтому допустить </w:t>
      </w:r>
      <w:proofErr w:type="gramStart"/>
      <w:r w:rsidRPr="0022129C">
        <w:rPr>
          <w:color w:val="0D0D0D" w:themeColor="text1" w:themeTint="F2"/>
        </w:rPr>
        <w:t>переход</w:t>
      </w:r>
      <w:proofErr w:type="gramEnd"/>
      <w:r w:rsidRPr="0022129C">
        <w:rPr>
          <w:color w:val="0D0D0D" w:themeColor="text1" w:themeTint="F2"/>
        </w:rPr>
        <w:t xml:space="preserve"> на учет исходя их среднемесячного потребления из-за сбоя в работе счетчика в рамках АИИСКУЭ практически невозможно. </w:t>
      </w:r>
    </w:p>
    <w:p w:rsidR="00357176" w:rsidRDefault="00357176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  <w:shd w:val="clear" w:color="auto" w:fill="FFFFFF"/>
        </w:rPr>
      </w:pPr>
    </w:p>
    <w:p w:rsidR="0022129C" w:rsidRDefault="0022129C" w:rsidP="00357176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D0D0D" w:themeColor="text1" w:themeTint="F2"/>
          <w:shd w:val="clear" w:color="auto" w:fill="FFFFFF"/>
        </w:rPr>
      </w:pPr>
      <w:r>
        <w:rPr>
          <w:noProof/>
          <w:color w:val="000000" w:themeColor="text1"/>
          <w:shd w:val="clear" w:color="auto" w:fill="FFFFFF"/>
        </w:rPr>
        <w:drawing>
          <wp:inline distT="0" distB="0" distL="0" distR="0">
            <wp:extent cx="3898437" cy="2762064"/>
            <wp:effectExtent l="19050" t="0" r="6813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682" cy="276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129C" w:rsidRPr="005133CF" w:rsidRDefault="0022129C" w:rsidP="00BF283A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i/>
          <w:color w:val="0D0D0D" w:themeColor="text1" w:themeTint="F2"/>
          <w:sz w:val="22"/>
          <w:szCs w:val="22"/>
          <w:shd w:val="clear" w:color="auto" w:fill="FFFFFF"/>
        </w:rPr>
      </w:pPr>
      <w:r w:rsidRPr="005133CF">
        <w:rPr>
          <w:i/>
          <w:color w:val="0D0D0D" w:themeColor="text1" w:themeTint="F2"/>
          <w:sz w:val="22"/>
          <w:szCs w:val="22"/>
          <w:shd w:val="clear" w:color="auto" w:fill="FFFFFF"/>
        </w:rPr>
        <w:t xml:space="preserve">Рис. </w:t>
      </w:r>
      <w:r w:rsidR="00E8145E">
        <w:rPr>
          <w:i/>
          <w:color w:val="0D0D0D" w:themeColor="text1" w:themeTint="F2"/>
          <w:sz w:val="22"/>
          <w:szCs w:val="22"/>
          <w:shd w:val="clear" w:color="auto" w:fill="FFFFFF"/>
        </w:rPr>
        <w:t>2</w:t>
      </w:r>
      <w:r w:rsidRPr="005133CF">
        <w:rPr>
          <w:i/>
          <w:color w:val="0D0D0D" w:themeColor="text1" w:themeTint="F2"/>
          <w:sz w:val="22"/>
          <w:szCs w:val="22"/>
          <w:shd w:val="clear" w:color="auto" w:fill="FFFFFF"/>
        </w:rPr>
        <w:t xml:space="preserve">. </w:t>
      </w:r>
      <w:r w:rsidRPr="005133CF">
        <w:rPr>
          <w:i/>
          <w:sz w:val="22"/>
          <w:szCs w:val="22"/>
        </w:rPr>
        <w:t xml:space="preserve">Структурная схема построения </w:t>
      </w:r>
      <w:fldSimple w:instr=" AUTHOR   \* MERGEFORMAT ">
        <w:r w:rsidRPr="005133CF">
          <w:rPr>
            <w:i/>
            <w:noProof/>
            <w:sz w:val="22"/>
            <w:szCs w:val="22"/>
          </w:rPr>
          <w:t>А</w:t>
        </w:r>
        <w:r w:rsidR="005133CF" w:rsidRPr="005133CF">
          <w:rPr>
            <w:i/>
            <w:noProof/>
            <w:sz w:val="22"/>
            <w:szCs w:val="22"/>
          </w:rPr>
          <w:t>ИИ</w:t>
        </w:r>
        <w:r w:rsidRPr="005133CF">
          <w:rPr>
            <w:i/>
            <w:noProof/>
            <w:sz w:val="22"/>
            <w:szCs w:val="22"/>
          </w:rPr>
          <w:t>СКУЭ</w:t>
        </w:r>
      </w:fldSimple>
      <w:r w:rsidRPr="005133CF">
        <w:rPr>
          <w:i/>
          <w:sz w:val="22"/>
          <w:szCs w:val="22"/>
        </w:rPr>
        <w:t xml:space="preserve"> с использованием технологии PLC</w:t>
      </w:r>
    </w:p>
    <w:p w:rsidR="00BF283A" w:rsidRDefault="00BF283A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</w:p>
    <w:p w:rsidR="00805281" w:rsidRDefault="00DB3638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К настоящему</w:t>
      </w:r>
      <w:r w:rsidR="00B339D2">
        <w:rPr>
          <w:color w:val="0D0D0D" w:themeColor="text1" w:themeTint="F2"/>
        </w:rPr>
        <w:t xml:space="preserve"> врем</w:t>
      </w:r>
      <w:r>
        <w:rPr>
          <w:color w:val="0D0D0D" w:themeColor="text1" w:themeTint="F2"/>
        </w:rPr>
        <w:t>ен</w:t>
      </w:r>
      <w:proofErr w:type="gramStart"/>
      <w:r>
        <w:rPr>
          <w:color w:val="0D0D0D" w:themeColor="text1" w:themeTint="F2"/>
        </w:rPr>
        <w:t>и</w:t>
      </w:r>
      <w:r w:rsidR="00B339D2">
        <w:rPr>
          <w:color w:val="0D0D0D" w:themeColor="text1" w:themeTint="F2"/>
        </w:rPr>
        <w:t xml:space="preserve"> ООО</w:t>
      </w:r>
      <w:proofErr w:type="gramEnd"/>
      <w:r w:rsidR="00B339D2">
        <w:rPr>
          <w:color w:val="0D0D0D" w:themeColor="text1" w:themeTint="F2"/>
        </w:rPr>
        <w:t xml:space="preserve"> «Орловский энергосбыт» ввело в эксплуатацию АИИСКУЭ на основе технологии </w:t>
      </w:r>
      <w:r w:rsidR="00B339D2">
        <w:rPr>
          <w:color w:val="0D0D0D" w:themeColor="text1" w:themeTint="F2"/>
          <w:lang w:val="en-US"/>
        </w:rPr>
        <w:t>ZigBee</w:t>
      </w:r>
      <w:r w:rsidR="00013EB0">
        <w:rPr>
          <w:rStyle w:val="ad"/>
          <w:color w:val="0D0D0D" w:themeColor="text1" w:themeTint="F2"/>
          <w:lang w:val="en-US"/>
        </w:rPr>
        <w:footnoteReference w:id="7"/>
      </w:r>
      <w:r w:rsidR="00B339D2">
        <w:rPr>
          <w:color w:val="0D0D0D" w:themeColor="text1" w:themeTint="F2"/>
        </w:rPr>
        <w:t xml:space="preserve"> в нескольких многоквартирных домах. При таком способе построения АИИСКУЭ полностью исключены проводные каналы передачи данных – как в качестве основного пути обмена информацией, так </w:t>
      </w:r>
      <w:r w:rsidR="009F12C9">
        <w:rPr>
          <w:color w:val="0D0D0D" w:themeColor="text1" w:themeTint="F2"/>
        </w:rPr>
        <w:t xml:space="preserve">и в качестве дублирующего. Этот канал позволяет построить сложную топологию сети, при этом его собственное энергопотребление довольно низкое, что немаловажно </w:t>
      </w:r>
      <w:r w:rsidR="00B55D03">
        <w:rPr>
          <w:color w:val="0D0D0D" w:themeColor="text1" w:themeTint="F2"/>
        </w:rPr>
        <w:t>в части формирования ОДН в многоквартирном доме</w:t>
      </w:r>
      <w:r w:rsidR="009F12C9">
        <w:rPr>
          <w:color w:val="0D0D0D" w:themeColor="text1" w:themeTint="F2"/>
        </w:rPr>
        <w:t xml:space="preserve">. Система проста в установке, эксплуатации и модернизации. Она состоит из контроллера, маршрутизатора и конечного устройства, расположенного в приборе учета. Благодаря тому, что конечное устройство не может передавать информацию с другого оборудования, оно большую часть времени находится в спящем режиме, </w:t>
      </w:r>
      <w:r w:rsidR="00B55D03">
        <w:rPr>
          <w:color w:val="0D0D0D" w:themeColor="text1" w:themeTint="F2"/>
        </w:rPr>
        <w:t>что</w:t>
      </w:r>
      <w:r w:rsidR="009F12C9">
        <w:rPr>
          <w:color w:val="0D0D0D" w:themeColor="text1" w:themeTint="F2"/>
        </w:rPr>
        <w:t xml:space="preserve"> позв</w:t>
      </w:r>
      <w:r w:rsidR="00B55D03">
        <w:rPr>
          <w:color w:val="0D0D0D" w:themeColor="text1" w:themeTint="F2"/>
        </w:rPr>
        <w:t xml:space="preserve">оляет экономить ресурс батарей, и, соответственно, их частая замена не требуется. </w:t>
      </w:r>
    </w:p>
    <w:p w:rsidR="00357176" w:rsidRDefault="00357176" w:rsidP="0035717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BF0B71">
        <w:rPr>
          <w:color w:val="0D0D0D" w:themeColor="text1" w:themeTint="F2"/>
        </w:rPr>
        <w:t>Эксплуатация различных способов технических решений построения</w:t>
      </w:r>
      <w:r>
        <w:rPr>
          <w:color w:val="0D0D0D" w:themeColor="text1" w:themeTint="F2"/>
        </w:rPr>
        <w:t xml:space="preserve"> АИИСКУЭ позволяет обобщить опыт их </w:t>
      </w:r>
      <w:r w:rsidRPr="00BF0B71">
        <w:rPr>
          <w:color w:val="0D0D0D" w:themeColor="text1" w:themeTint="F2"/>
        </w:rPr>
        <w:t>практического</w:t>
      </w:r>
      <w:r>
        <w:rPr>
          <w:color w:val="0D0D0D" w:themeColor="text1" w:themeTint="F2"/>
        </w:rPr>
        <w:t xml:space="preserve"> использования.</w:t>
      </w:r>
    </w:p>
    <w:p w:rsidR="00357176" w:rsidRDefault="00357176" w:rsidP="0035717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BF0B71">
        <w:rPr>
          <w:color w:val="0D0D0D" w:themeColor="text1" w:themeTint="F2"/>
        </w:rPr>
        <w:t xml:space="preserve">Автоматизированная информационно-измерительная система коммерческого учета электроэнергии обладает рядом </w:t>
      </w:r>
      <w:proofErr w:type="gramStart"/>
      <w:r w:rsidRPr="00BF0B71">
        <w:rPr>
          <w:color w:val="0D0D0D" w:themeColor="text1" w:themeTint="F2"/>
        </w:rPr>
        <w:t>преимуществ</w:t>
      </w:r>
      <w:proofErr w:type="gramEnd"/>
      <w:r w:rsidRPr="00BF0B71">
        <w:rPr>
          <w:color w:val="0D0D0D" w:themeColor="text1" w:themeTint="F2"/>
        </w:rPr>
        <w:t xml:space="preserve"> как для гарантирующего поставщика, так и для потребителя.</w:t>
      </w:r>
      <w:r>
        <w:rPr>
          <w:color w:val="0D0D0D" w:themeColor="text1" w:themeTint="F2"/>
        </w:rPr>
        <w:t xml:space="preserve"> Для гарантирующего поставщика </w:t>
      </w:r>
      <w:r w:rsidRPr="0022129C">
        <w:rPr>
          <w:color w:val="0D0D0D" w:themeColor="text1" w:themeTint="F2"/>
        </w:rPr>
        <w:t>АИИСКУЭ представляет собой эффективный инструмент для мониторинга энергопотребления в домохозяйствах, поиска источников потерь, принятия мер по ограничению недобросовестных абонентов без выезда персонала компании к месту проведения работ</w:t>
      </w:r>
      <w:r>
        <w:rPr>
          <w:color w:val="0D0D0D" w:themeColor="text1" w:themeTint="F2"/>
        </w:rPr>
        <w:t xml:space="preserve">. Наличие АИИСКУЭ в многоквартирном доме </w:t>
      </w:r>
      <w:r w:rsidRPr="0022129C">
        <w:rPr>
          <w:color w:val="0D0D0D" w:themeColor="text1" w:themeTint="F2"/>
        </w:rPr>
        <w:lastRenderedPageBreak/>
        <w:t>минимизирует потенциально возможные конфликтные ситуации, связанные с начислением оплаты</w:t>
      </w:r>
      <w:r>
        <w:rPr>
          <w:color w:val="0D0D0D" w:themeColor="text1" w:themeTint="F2"/>
        </w:rPr>
        <w:t>.</w:t>
      </w:r>
    </w:p>
    <w:p w:rsidR="00213F00" w:rsidRPr="00B339D2" w:rsidRDefault="00213F00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</w:p>
    <w:p w:rsidR="00805281" w:rsidRDefault="00805281" w:rsidP="00357176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D0D0D" w:themeColor="text1" w:themeTint="F2"/>
        </w:rPr>
      </w:pPr>
      <w:r>
        <w:rPr>
          <w:noProof/>
        </w:rPr>
        <w:drawing>
          <wp:inline distT="0" distB="0" distL="0" distR="0">
            <wp:extent cx="3925252" cy="2415540"/>
            <wp:effectExtent l="19050" t="0" r="0" b="0"/>
            <wp:docPr id="3" name="Рисунок 3" descr="ÐÐ¡ÐÐ£Ð­ Ð½Ð° Ð±Ð°Ð·Ðµ ÑÐµÑÐ½Ð¾Ð»Ð¾Ð³Ð¸Ð¸ ZigBee, ÐÐ²ÑÐ¾Ð¼Ð°ÑÐ¸Ð·Ð¸ÑÐ¾Ð²Ð°Ð½Ð½Ð°Ñ  Ð¸Ð½ÑÐ¾ÑÐ¼Ð°ÑÐ¸Ð¾Ð½Ð½Ð¾-Ð¸Ð·Ð¼ÐµÑÐ¸ÑÐµÐ»ÑÐ½Ð°Ñ ÑÐ¸ÑÑÐµÐ¼Ð° ÐºÐ¾Ð¼Ð¼ÐµÑÑÐµÑÐºÐ¾Ð³Ð¾ ÑÑÐµÑÐ° ÑÐ»ÐµÐºÑÑÐ¾ÑÐ½ÐµÑÐ³Ð¸Ð¸ Ð½Ð°  Ð±Ð°Ð·Ðµ ÐÐ¢Ð¡ Â«ÐÐÐÐ ÐÐÂ» - Ð¡Ð¸ÑÑÐµÐ¼Ñ ÐºÐ¾Ð½ÑÑÐ¾Ð»Ñ Ð¸ ÑÑÐµÑÐ° ÑÐ»ÐµÐºÑÑÐ¸ÑÐµÑÐºÐ¾Ð¹ ÑÐ½ÐµÑÐ³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Ð¡ÐÐ£Ð­ Ð½Ð° Ð±Ð°Ð·Ðµ ÑÐµÑÐ½Ð¾Ð»Ð¾Ð³Ð¸Ð¸ ZigBee, ÐÐ²ÑÐ¾Ð¼Ð°ÑÐ¸Ð·Ð¸ÑÐ¾Ð²Ð°Ð½Ð½Ð°Ñ  Ð¸Ð½ÑÐ¾ÑÐ¼Ð°ÑÐ¸Ð¾Ð½Ð½Ð¾-Ð¸Ð·Ð¼ÐµÑÐ¸ÑÐµÐ»ÑÐ½Ð°Ñ ÑÐ¸ÑÑÐµÐ¼Ð° ÐºÐ¾Ð¼Ð¼ÐµÑÑÐµÑÐºÐ¾Ð³Ð¾ ÑÑÐµÑÐ° ÑÐ»ÐµÐºÑÑÐ¾ÑÐ½ÐµÑÐ³Ð¸Ð¸ Ð½Ð°  Ð±Ð°Ð·Ðµ ÐÐ¢Ð¡ Â«ÐÐÐÐ ÐÐÂ» - Ð¡Ð¸ÑÑÐµÐ¼Ñ ÐºÐ¾Ð½ÑÑÐ¾Ð»Ñ Ð¸ ÑÑÐµÑÐ° ÑÐ»ÐµÐºÑÑÐ¸ÑÐµÑÐºÐ¾Ð¹ ÑÐ½ÐµÑÐ³Ð¸Ð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41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281" w:rsidRPr="00E8145E" w:rsidRDefault="00805281" w:rsidP="0080528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805281">
        <w:rPr>
          <w:i/>
          <w:color w:val="0D0D0D" w:themeColor="text1" w:themeTint="F2"/>
        </w:rPr>
        <w:t xml:space="preserve">Рис. </w:t>
      </w:r>
      <w:r w:rsidR="00E8145E">
        <w:rPr>
          <w:i/>
          <w:color w:val="0D0D0D" w:themeColor="text1" w:themeTint="F2"/>
        </w:rPr>
        <w:t>3</w:t>
      </w:r>
      <w:r>
        <w:rPr>
          <w:color w:val="0D0D0D" w:themeColor="text1" w:themeTint="F2"/>
        </w:rPr>
        <w:t xml:space="preserve"> </w:t>
      </w:r>
      <w:r w:rsidRPr="005133CF">
        <w:rPr>
          <w:i/>
          <w:sz w:val="22"/>
          <w:szCs w:val="22"/>
        </w:rPr>
        <w:t xml:space="preserve">Структурная схема построения </w:t>
      </w:r>
      <w:fldSimple w:instr=" AUTHOR   \* MERGEFORMAT ">
        <w:r w:rsidRPr="005133CF">
          <w:rPr>
            <w:i/>
            <w:noProof/>
            <w:sz w:val="22"/>
            <w:szCs w:val="22"/>
          </w:rPr>
          <w:t>АИИСКУЭ</w:t>
        </w:r>
      </w:fldSimple>
      <w:r w:rsidRPr="005133CF">
        <w:rPr>
          <w:i/>
          <w:sz w:val="22"/>
          <w:szCs w:val="22"/>
        </w:rPr>
        <w:t xml:space="preserve"> с использованием технологии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ZigBee</w:t>
      </w:r>
    </w:p>
    <w:p w:rsidR="00357176" w:rsidRDefault="00357176" w:rsidP="00357176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</w:p>
    <w:p w:rsidR="00E8145E" w:rsidRPr="00A00988" w:rsidRDefault="00A00988" w:rsidP="00A00988">
      <w:pPr>
        <w:pStyle w:val="a3"/>
        <w:shd w:val="clear" w:color="auto" w:fill="FFFFFF"/>
        <w:spacing w:before="0" w:beforeAutospacing="0" w:after="0" w:afterAutospacing="0"/>
        <w:ind w:firstLine="720"/>
        <w:rPr>
          <w:i/>
          <w:color w:val="0D0D0D" w:themeColor="text1" w:themeTint="F2"/>
        </w:rPr>
      </w:pPr>
      <w:r w:rsidRPr="00A00988">
        <w:rPr>
          <w:i/>
          <w:color w:val="0D0D0D" w:themeColor="text1" w:themeTint="F2"/>
        </w:rPr>
        <w:t>Таблица 3. Сравнительный анализ АИИСКУЭ</w:t>
      </w:r>
      <w:r w:rsidR="00B55493">
        <w:rPr>
          <w:i/>
          <w:color w:val="0D0D0D" w:themeColor="text1" w:themeTint="F2"/>
        </w:rPr>
        <w:t xml:space="preserve"> с использованием разных каналов связи</w:t>
      </w:r>
    </w:p>
    <w:tbl>
      <w:tblPr>
        <w:tblStyle w:val="ae"/>
        <w:tblW w:w="9628" w:type="dxa"/>
        <w:jc w:val="center"/>
        <w:tblLook w:val="04A0"/>
      </w:tblPr>
      <w:tblGrid>
        <w:gridCol w:w="1957"/>
        <w:gridCol w:w="2497"/>
        <w:gridCol w:w="2587"/>
        <w:gridCol w:w="2587"/>
      </w:tblGrid>
      <w:tr w:rsidR="00B55493" w:rsidRPr="00F71E8B" w:rsidTr="00B55493">
        <w:trPr>
          <w:jc w:val="center"/>
        </w:trPr>
        <w:tc>
          <w:tcPr>
            <w:tcW w:w="1957" w:type="dxa"/>
          </w:tcPr>
          <w:p w:rsidR="00B55493" w:rsidRPr="00E658A8" w:rsidRDefault="00E658A8" w:rsidP="00617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Канал связи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Параметры оценки</w:t>
            </w:r>
          </w:p>
        </w:tc>
        <w:tc>
          <w:tcPr>
            <w:tcW w:w="2497" w:type="dxa"/>
            <w:vAlign w:val="center"/>
          </w:tcPr>
          <w:p w:rsidR="00B55493" w:rsidRPr="00E55DAA" w:rsidRDefault="00B55493" w:rsidP="00617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DAA">
              <w:rPr>
                <w:rFonts w:ascii="Times New Roman" w:hAnsi="Times New Roman" w:cs="Times New Roman"/>
                <w:b/>
                <w:sz w:val="20"/>
                <w:szCs w:val="20"/>
              </w:rPr>
              <w:t>RS-485</w:t>
            </w:r>
          </w:p>
        </w:tc>
        <w:tc>
          <w:tcPr>
            <w:tcW w:w="2587" w:type="dxa"/>
            <w:vAlign w:val="center"/>
          </w:tcPr>
          <w:p w:rsidR="00B55493" w:rsidRPr="00E55DAA" w:rsidRDefault="00B55493" w:rsidP="00617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DAA">
              <w:rPr>
                <w:rFonts w:ascii="Times New Roman" w:hAnsi="Times New Roman" w:cs="Times New Roman"/>
                <w:b/>
                <w:sz w:val="20"/>
                <w:szCs w:val="20"/>
              </w:rPr>
              <w:t>PLC</w:t>
            </w:r>
          </w:p>
        </w:tc>
        <w:tc>
          <w:tcPr>
            <w:tcW w:w="2587" w:type="dxa"/>
            <w:vAlign w:val="center"/>
          </w:tcPr>
          <w:p w:rsidR="00B55493" w:rsidRPr="00E55DAA" w:rsidRDefault="00B55493" w:rsidP="00A00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DAA">
              <w:rPr>
                <w:rFonts w:ascii="Times New Roman" w:hAnsi="Times New Roman" w:cs="Times New Roman"/>
                <w:b/>
                <w:sz w:val="20"/>
                <w:szCs w:val="20"/>
              </w:rPr>
              <w:t>Zig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proofErr w:type="spellStart"/>
            <w:r w:rsidRPr="00E55DAA">
              <w:rPr>
                <w:rFonts w:ascii="Times New Roman" w:hAnsi="Times New Roman" w:cs="Times New Roman"/>
                <w:b/>
                <w:sz w:val="20"/>
                <w:szCs w:val="20"/>
              </w:rPr>
              <w:t>ee</w:t>
            </w:r>
            <w:proofErr w:type="spellEnd"/>
          </w:p>
        </w:tc>
      </w:tr>
      <w:tr w:rsidR="00B55493" w:rsidRPr="00F71E8B" w:rsidTr="00B55493">
        <w:trPr>
          <w:trHeight w:val="5894"/>
          <w:jc w:val="center"/>
        </w:trPr>
        <w:tc>
          <w:tcPr>
            <w:tcW w:w="1957" w:type="dxa"/>
          </w:tcPr>
          <w:p w:rsidR="00B55493" w:rsidRPr="00E658A8" w:rsidRDefault="00A92992" w:rsidP="00A929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8A8">
              <w:rPr>
                <w:rFonts w:ascii="Times New Roman" w:hAnsi="Times New Roman" w:cs="Times New Roman"/>
                <w:b/>
                <w:sz w:val="20"/>
                <w:szCs w:val="20"/>
              </w:rPr>
              <w:t>Особенности установки и эксплуатационные характеристики</w:t>
            </w:r>
          </w:p>
        </w:tc>
        <w:tc>
          <w:tcPr>
            <w:tcW w:w="2497" w:type="dxa"/>
          </w:tcPr>
          <w:p w:rsidR="00B55493" w:rsidRDefault="00B55493" w:rsidP="0061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Высокая трудоемкость монтажа системы АИИСКУЭ в МКД, необходимость использования для монтажа </w:t>
            </w:r>
          </w:p>
          <w:p w:rsidR="00B55493" w:rsidRDefault="00B55493" w:rsidP="0061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экранированной витой пары</w:t>
            </w:r>
            <w:r w:rsidRPr="00717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проведении пуско-наладочных работ и последующей эксплуатации возможны проблемы в настройке и сбои в работе системы в связи с механическим повреждением интерфейсного кабеля, нарушением контакта в проводах и т.д.</w:t>
            </w:r>
          </w:p>
          <w:p w:rsidR="00B55493" w:rsidRPr="00F71E8B" w:rsidRDefault="00B55493" w:rsidP="00617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</w:tcPr>
          <w:p w:rsidR="00B55493" w:rsidRPr="00F71E8B" w:rsidRDefault="00B55493" w:rsidP="00BF0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расчете количества</w:t>
            </w:r>
            <w:r w:rsidRPr="00BA5457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</w:t>
            </w:r>
            <w:r w:rsidR="00BF0B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457">
              <w:rPr>
                <w:rFonts w:ascii="Times New Roman" w:hAnsi="Times New Roman" w:cs="Times New Roman"/>
                <w:sz w:val="20"/>
                <w:szCs w:val="20"/>
              </w:rPr>
              <w:t>борудования (УСПД</w:t>
            </w:r>
            <w:r w:rsidR="00B833FE">
              <w:rPr>
                <w:rStyle w:val="ad"/>
                <w:rFonts w:ascii="Times New Roman" w:hAnsi="Times New Roman" w:cs="Times New Roman"/>
                <w:sz w:val="20"/>
                <w:szCs w:val="20"/>
              </w:rPr>
              <w:footnoteReference w:id="8"/>
            </w:r>
            <w:r w:rsidRPr="00BA5457">
              <w:rPr>
                <w:rFonts w:ascii="Times New Roman" w:hAnsi="Times New Roman" w:cs="Times New Roman"/>
                <w:sz w:val="20"/>
                <w:szCs w:val="20"/>
              </w:rPr>
              <w:t xml:space="preserve">, PLC-модемов и пр.)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учитывать количество силовых вводов на МКД и </w:t>
            </w:r>
            <w:r w:rsidRPr="00BA5457">
              <w:rPr>
                <w:rFonts w:ascii="Times New Roman" w:hAnsi="Times New Roman" w:cs="Times New Roman"/>
                <w:sz w:val="20"/>
                <w:szCs w:val="20"/>
              </w:rPr>
              <w:t xml:space="preserve">схемы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включения трансформаторов самой трансформаторной подстанции</w:t>
            </w:r>
            <w:r w:rsidRPr="00BA5457">
              <w:rPr>
                <w:rFonts w:ascii="Times New Roman" w:hAnsi="Times New Roman" w:cs="Times New Roman"/>
                <w:sz w:val="20"/>
                <w:szCs w:val="20"/>
              </w:rPr>
              <w:t>, что приводит к удорожанию системы АИИСКУЭ в целом.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настройки системы и проведения пусконаладочных работ необходимо дополнительное время. При эксплуатации системы возможны проблемы с </w:t>
            </w:r>
            <w:r w:rsidR="00833C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выпадающими</w:t>
            </w:r>
            <w:r w:rsidR="00833C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счетчиками по причине влияния внешних факторов в линии 0,4 кВ.</w:t>
            </w:r>
          </w:p>
        </w:tc>
        <w:tc>
          <w:tcPr>
            <w:tcW w:w="2587" w:type="dxa"/>
          </w:tcPr>
          <w:p w:rsidR="00B55493" w:rsidRPr="00F71E8B" w:rsidRDefault="00B55493" w:rsidP="00B55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Приборы учета могут выполнять функции ретрансляторов, количество дополнительного оборудования (УСПД и пр.) не зависит от особенностей подключения МКД от трансформаторной подстанции, что приводит к снижению стоимости системы АИИСКУЭ в целом. Монтаж системы может проводить персонал, имеющий меньшую квалификацию, чем для системы на </w:t>
            </w:r>
            <w:r w:rsidRPr="009A12F3">
              <w:rPr>
                <w:rFonts w:ascii="Times New Roman" w:hAnsi="Times New Roman" w:cs="Times New Roman"/>
                <w:sz w:val="20"/>
                <w:szCs w:val="20"/>
              </w:rPr>
              <w:t>RS-485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9A12F3">
              <w:rPr>
                <w:rFonts w:ascii="Times New Roman" w:hAnsi="Times New Roman" w:cs="Times New Roman"/>
                <w:sz w:val="20"/>
                <w:szCs w:val="20"/>
              </w:rPr>
              <w:t>PLC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встроенных радиоканалов </w:t>
            </w:r>
            <w:r w:rsidRPr="00DC58F9">
              <w:rPr>
                <w:rFonts w:ascii="Times New Roman" w:hAnsi="Times New Roman" w:cs="Times New Roman"/>
                <w:sz w:val="20"/>
                <w:szCs w:val="20"/>
              </w:rPr>
              <w:t xml:space="preserve">позволяет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системе настраиваться в </w:t>
            </w:r>
            <w:r w:rsidRPr="00DC58F9">
              <w:rPr>
                <w:rFonts w:ascii="Times New Roman" w:hAnsi="Times New Roman" w:cs="Times New Roman"/>
                <w:sz w:val="20"/>
                <w:szCs w:val="20"/>
              </w:rPr>
              <w:t>автома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тическом режиме и обеспечивать надежную работу по сбору данных с приборов учета электроэнергии по всему МКД.</w:t>
            </w:r>
          </w:p>
        </w:tc>
      </w:tr>
      <w:tr w:rsidR="00B55493" w:rsidRPr="00F71E8B" w:rsidTr="00B55493">
        <w:trPr>
          <w:trHeight w:val="881"/>
          <w:jc w:val="center"/>
        </w:trPr>
        <w:tc>
          <w:tcPr>
            <w:tcW w:w="1957" w:type="dxa"/>
          </w:tcPr>
          <w:p w:rsidR="00B55493" w:rsidRPr="00BF0B71" w:rsidRDefault="00833CA0" w:rsidP="00617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71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</w:tc>
        <w:tc>
          <w:tcPr>
            <w:tcW w:w="2497" w:type="dxa"/>
          </w:tcPr>
          <w:p w:rsidR="00B55493" w:rsidRPr="00BF0B71" w:rsidRDefault="00B55493" w:rsidP="0083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B71">
              <w:rPr>
                <w:rFonts w:ascii="Times New Roman" w:hAnsi="Times New Roman" w:cs="Times New Roman"/>
                <w:sz w:val="20"/>
                <w:szCs w:val="20"/>
              </w:rPr>
              <w:t xml:space="preserve">Данное решение системы АИИСКУЭ для МКД </w:t>
            </w:r>
            <w:r w:rsidR="00833CA0" w:rsidRPr="00BF0B71">
              <w:rPr>
                <w:rFonts w:ascii="Times New Roman" w:hAnsi="Times New Roman" w:cs="Times New Roman"/>
                <w:sz w:val="20"/>
                <w:szCs w:val="20"/>
              </w:rPr>
              <w:t xml:space="preserve">дороже аналогичной системы на PLC </w:t>
            </w:r>
            <w:r w:rsidRPr="00BF0B71">
              <w:rPr>
                <w:rFonts w:ascii="Times New Roman" w:hAnsi="Times New Roman" w:cs="Times New Roman"/>
                <w:sz w:val="20"/>
                <w:szCs w:val="20"/>
              </w:rPr>
              <w:t>на 10-15%</w:t>
            </w:r>
            <w:r w:rsidR="00833CA0" w:rsidRPr="00BF0B71">
              <w:rPr>
                <w:rFonts w:ascii="Times New Roman" w:hAnsi="Times New Roman" w:cs="Times New Roman"/>
                <w:sz w:val="20"/>
                <w:szCs w:val="20"/>
              </w:rPr>
              <w:t xml:space="preserve"> на точку учета.</w:t>
            </w:r>
          </w:p>
        </w:tc>
        <w:tc>
          <w:tcPr>
            <w:tcW w:w="2587" w:type="dxa"/>
          </w:tcPr>
          <w:p w:rsidR="00B55493" w:rsidRPr="00BF0B71" w:rsidRDefault="00B55493" w:rsidP="0083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B71">
              <w:rPr>
                <w:rFonts w:ascii="Times New Roman" w:hAnsi="Times New Roman" w:cs="Times New Roman"/>
                <w:sz w:val="20"/>
                <w:szCs w:val="20"/>
              </w:rPr>
              <w:t xml:space="preserve">Данное решение системы АИИСКУЭ для МКД на точку учета дороже </w:t>
            </w:r>
            <w:r w:rsidR="00833CA0" w:rsidRPr="00BF0B71">
              <w:rPr>
                <w:rFonts w:ascii="Times New Roman" w:hAnsi="Times New Roman" w:cs="Times New Roman"/>
                <w:sz w:val="20"/>
                <w:szCs w:val="20"/>
              </w:rPr>
              <w:t xml:space="preserve">аналогичной системы на </w:t>
            </w:r>
            <w:r w:rsidR="00833CA0" w:rsidRPr="00BF0B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ZigBee</w:t>
            </w:r>
            <w:r w:rsidR="00833CA0" w:rsidRPr="00BF0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B71">
              <w:rPr>
                <w:rFonts w:ascii="Times New Roman" w:hAnsi="Times New Roman" w:cs="Times New Roman"/>
                <w:sz w:val="20"/>
                <w:szCs w:val="20"/>
              </w:rPr>
              <w:t>на 20-30%</w:t>
            </w:r>
            <w:r w:rsidR="00E658A8" w:rsidRPr="00BF0B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7" w:type="dxa"/>
          </w:tcPr>
          <w:p w:rsidR="00B55493" w:rsidRPr="00BF0B71" w:rsidRDefault="00B55493" w:rsidP="0061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B71">
              <w:rPr>
                <w:rFonts w:ascii="Times New Roman" w:hAnsi="Times New Roman" w:cs="Times New Roman"/>
                <w:sz w:val="20"/>
                <w:szCs w:val="20"/>
              </w:rPr>
              <w:t>Данное решение позволяет обеспечить минимальную стоимость системы АИИСКУЭ для МКД на точку учета.</w:t>
            </w:r>
          </w:p>
        </w:tc>
      </w:tr>
    </w:tbl>
    <w:p w:rsidR="00A00988" w:rsidRDefault="00A00988" w:rsidP="00E8145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</w:p>
    <w:p w:rsidR="00357176" w:rsidRDefault="00357176" w:rsidP="0035717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Потребителю система позволяет</w:t>
      </w:r>
      <w:r w:rsidRPr="0022129C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отслеживать </w:t>
      </w:r>
      <w:r w:rsidRPr="0022129C">
        <w:rPr>
          <w:color w:val="0D0D0D" w:themeColor="text1" w:themeTint="F2"/>
        </w:rPr>
        <w:t xml:space="preserve">качество ресурса, поступающего в дом, </w:t>
      </w:r>
      <w:r w:rsidRPr="00BF0B71">
        <w:rPr>
          <w:color w:val="0D0D0D" w:themeColor="text1" w:themeTint="F2"/>
        </w:rPr>
        <w:t xml:space="preserve">предоставляет юридически значимый источник информации в спорах по вопросам порчи имущества в результате технологических нарушений, которые вызваны неудовлетворительным состоянием электрических сетей, избавляет от необходимости ежемесячно сообщать о своем энергопотреблении, принципиально исключает необъективность при начислении платы за электроэнергию, предоставленную на </w:t>
      </w:r>
      <w:proofErr w:type="spellStart"/>
      <w:r w:rsidRPr="00BF0B71">
        <w:rPr>
          <w:color w:val="0D0D0D" w:themeColor="text1" w:themeTint="F2"/>
        </w:rPr>
        <w:t>общедомовые</w:t>
      </w:r>
      <w:proofErr w:type="spellEnd"/>
      <w:r w:rsidRPr="00BF0B71">
        <w:rPr>
          <w:color w:val="0D0D0D" w:themeColor="text1" w:themeTint="F2"/>
        </w:rPr>
        <w:t xml:space="preserve"> нужды. Таким образом, интеллектуальный учет повышает ответственность участников процесса электроснабжения за выполнение своих обязательств.</w:t>
      </w:r>
    </w:p>
    <w:p w:rsidR="00A60AFF" w:rsidRPr="00E658A8" w:rsidRDefault="00A60AFF" w:rsidP="00BF283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E658A8">
        <w:rPr>
          <w:color w:val="0D0D0D" w:themeColor="text1" w:themeTint="F2"/>
        </w:rPr>
        <w:t>Изменения в действующем законодательстве открыли большие перспективы производителям приборов учета электроэнергии и оборудования АИИСКУЭ для создания интеллектуальных систем учета электроэнергии. Рассмотренные в данной статье технические решения построения таких систем являются актуальными на текущий момент. Однако быстрое развитие информационных</w:t>
      </w:r>
      <w:r w:rsidR="00E658A8" w:rsidRPr="00E658A8">
        <w:rPr>
          <w:color w:val="0D0D0D" w:themeColor="text1" w:themeTint="F2"/>
        </w:rPr>
        <w:t xml:space="preserve"> технологий, а также применение</w:t>
      </w:r>
      <w:r w:rsidRPr="00E658A8">
        <w:rPr>
          <w:color w:val="0D0D0D" w:themeColor="text1" w:themeTint="F2"/>
        </w:rPr>
        <w:t xml:space="preserve"> современной элементной базы при построении радиоэлектронных си</w:t>
      </w:r>
      <w:r w:rsidR="00E658A8" w:rsidRPr="00E658A8">
        <w:rPr>
          <w:color w:val="0D0D0D" w:themeColor="text1" w:themeTint="F2"/>
        </w:rPr>
        <w:t>стем позволяет ожидать появления</w:t>
      </w:r>
      <w:r w:rsidRPr="00E658A8">
        <w:rPr>
          <w:color w:val="0D0D0D" w:themeColor="text1" w:themeTint="F2"/>
        </w:rPr>
        <w:t xml:space="preserve"> более </w:t>
      </w:r>
      <w:r w:rsidR="0040278E" w:rsidRPr="00BF0B71">
        <w:rPr>
          <w:color w:val="0D0D0D" w:themeColor="text1" w:themeTint="F2"/>
        </w:rPr>
        <w:t>функциональных</w:t>
      </w:r>
      <w:r w:rsidRPr="00E658A8">
        <w:rPr>
          <w:color w:val="0D0D0D" w:themeColor="text1" w:themeTint="F2"/>
        </w:rPr>
        <w:t xml:space="preserve"> АИИСКУЭ, которые </w:t>
      </w:r>
      <w:r w:rsidR="00A00988" w:rsidRPr="00E658A8">
        <w:rPr>
          <w:color w:val="0D0D0D" w:themeColor="text1" w:themeTint="F2"/>
        </w:rPr>
        <w:t>смогут обеспечить качественн</w:t>
      </w:r>
      <w:r w:rsidR="0040278E">
        <w:rPr>
          <w:color w:val="0D0D0D" w:themeColor="text1" w:themeTint="F2"/>
        </w:rPr>
        <w:t>ый</w:t>
      </w:r>
      <w:r w:rsidR="00A00988" w:rsidRPr="00E658A8">
        <w:rPr>
          <w:color w:val="0D0D0D" w:themeColor="text1" w:themeTint="F2"/>
        </w:rPr>
        <w:t>,</w:t>
      </w:r>
      <w:r w:rsidRPr="00E658A8">
        <w:rPr>
          <w:color w:val="0D0D0D" w:themeColor="text1" w:themeTint="F2"/>
        </w:rPr>
        <w:t xml:space="preserve"> надежн</w:t>
      </w:r>
      <w:r w:rsidR="0040278E">
        <w:rPr>
          <w:color w:val="0D0D0D" w:themeColor="text1" w:themeTint="F2"/>
        </w:rPr>
        <w:t>ый</w:t>
      </w:r>
      <w:r w:rsidRPr="00E658A8">
        <w:rPr>
          <w:color w:val="0D0D0D" w:themeColor="text1" w:themeTint="F2"/>
        </w:rPr>
        <w:t xml:space="preserve"> </w:t>
      </w:r>
      <w:r w:rsidR="0040278E">
        <w:rPr>
          <w:color w:val="0D0D0D" w:themeColor="text1" w:themeTint="F2"/>
        </w:rPr>
        <w:t xml:space="preserve">учет </w:t>
      </w:r>
      <w:r w:rsidR="0040278E" w:rsidRPr="00BF0B71">
        <w:rPr>
          <w:color w:val="0D0D0D" w:themeColor="text1" w:themeTint="F2"/>
        </w:rPr>
        <w:t>и анализ энергопотребления</w:t>
      </w:r>
      <w:r w:rsidR="0040278E">
        <w:rPr>
          <w:color w:val="0D0D0D" w:themeColor="text1" w:themeTint="F2"/>
        </w:rPr>
        <w:t xml:space="preserve">, </w:t>
      </w:r>
      <w:r w:rsidR="004A743A">
        <w:rPr>
          <w:color w:val="0D0D0D" w:themeColor="text1" w:themeTint="F2"/>
        </w:rPr>
        <w:t xml:space="preserve">а также </w:t>
      </w:r>
      <w:r w:rsidRPr="00E658A8">
        <w:rPr>
          <w:color w:val="0D0D0D" w:themeColor="text1" w:themeTint="F2"/>
        </w:rPr>
        <w:t xml:space="preserve">возможность выбора </w:t>
      </w:r>
      <w:r w:rsidR="0040278E">
        <w:rPr>
          <w:color w:val="0D0D0D" w:themeColor="text1" w:themeTint="F2"/>
        </w:rPr>
        <w:t>потребителями</w:t>
      </w:r>
      <w:r w:rsidRPr="00E658A8">
        <w:rPr>
          <w:color w:val="0D0D0D" w:themeColor="text1" w:themeTint="F2"/>
        </w:rPr>
        <w:t xml:space="preserve"> оптимальных решений </w:t>
      </w:r>
      <w:r w:rsidRPr="00BF0B71">
        <w:rPr>
          <w:color w:val="0D0D0D" w:themeColor="text1" w:themeTint="F2"/>
        </w:rPr>
        <w:t>в части</w:t>
      </w:r>
      <w:r w:rsidR="00E14033" w:rsidRPr="00BF0B71">
        <w:rPr>
          <w:color w:val="0D0D0D" w:themeColor="text1" w:themeTint="F2"/>
        </w:rPr>
        <w:t xml:space="preserve"> управления собственным потреблением, выбора</w:t>
      </w:r>
      <w:r w:rsidRPr="00BF0B71">
        <w:rPr>
          <w:color w:val="0D0D0D" w:themeColor="text1" w:themeTint="F2"/>
        </w:rPr>
        <w:t xml:space="preserve"> вариантов оплаты и </w:t>
      </w:r>
      <w:r w:rsidR="00F175AF" w:rsidRPr="00BF0B71">
        <w:rPr>
          <w:color w:val="0D0D0D" w:themeColor="text1" w:themeTint="F2"/>
        </w:rPr>
        <w:t xml:space="preserve">оптимизации </w:t>
      </w:r>
      <w:r w:rsidRPr="00BF0B71">
        <w:rPr>
          <w:color w:val="0D0D0D" w:themeColor="text1" w:themeTint="F2"/>
        </w:rPr>
        <w:t>стоимости потребляемой электрической энергии</w:t>
      </w:r>
      <w:r w:rsidRPr="00E658A8">
        <w:rPr>
          <w:color w:val="0D0D0D" w:themeColor="text1" w:themeTint="F2"/>
        </w:rPr>
        <w:t>.</w:t>
      </w:r>
    </w:p>
    <w:p w:rsidR="00830195" w:rsidRPr="0022129C" w:rsidRDefault="00830195" w:rsidP="0035717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945FE" w:rsidRDefault="00D2731C" w:rsidP="00D2731C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Список литературы</w:t>
      </w:r>
    </w:p>
    <w:p w:rsidR="00D2731C" w:rsidRPr="00357176" w:rsidRDefault="00D2731C" w:rsidP="00357176">
      <w:pPr>
        <w:pStyle w:val="af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3571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Постановление Правительства РФ от 19.06.2020 № 890</w:t>
      </w:r>
      <w:proofErr w:type="gramStart"/>
      <w:r w:rsidR="003571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5717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</w:t>
      </w:r>
      <w:proofErr w:type="gramEnd"/>
      <w:r w:rsidRPr="0035717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порядке предоставления доступа к минимальному набору функций интеллектуальных систем учета электрической энергии (мощности)».</w:t>
      </w:r>
    </w:p>
    <w:p w:rsidR="00EC5465" w:rsidRPr="00357176" w:rsidRDefault="00EC5465" w:rsidP="00357176">
      <w:pPr>
        <w:pStyle w:val="af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176">
        <w:rPr>
          <w:rFonts w:ascii="Times New Roman" w:hAnsi="Times New Roman" w:cs="Times New Roman"/>
          <w:color w:val="000000"/>
          <w:sz w:val="24"/>
          <w:szCs w:val="24"/>
        </w:rPr>
        <w:t>«Градостроительный кодекс Российской Федерации» от 29.12.2004 N 190-ФЗ (ред. от 31.07.2020) </w:t>
      </w:r>
    </w:p>
    <w:p w:rsidR="007A7462" w:rsidRDefault="007A7462" w:rsidP="00DB3638">
      <w:pPr>
        <w:spacing w:after="0" w:line="240" w:lineRule="auto"/>
        <w:ind w:left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7A7462" w:rsidRPr="00357176" w:rsidRDefault="007A7462" w:rsidP="00357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176">
        <w:rPr>
          <w:rFonts w:ascii="Times New Roman" w:hAnsi="Times New Roman" w:cs="Times New Roman"/>
          <w:b/>
          <w:sz w:val="24"/>
          <w:szCs w:val="24"/>
        </w:rPr>
        <w:t>Юрьев Юрий Николаевич</w:t>
      </w:r>
      <w:r w:rsidRPr="00357176">
        <w:rPr>
          <w:rFonts w:ascii="Times New Roman" w:hAnsi="Times New Roman" w:cs="Times New Roman"/>
          <w:sz w:val="24"/>
          <w:szCs w:val="24"/>
        </w:rPr>
        <w:t xml:space="preserve"> генеральный директор ООО «Орловский энергосбыт». Россия, 302020, г. Орел, ул. </w:t>
      </w:r>
      <w:proofErr w:type="spellStart"/>
      <w:r w:rsidRPr="00357176">
        <w:rPr>
          <w:rFonts w:ascii="Times New Roman" w:hAnsi="Times New Roman" w:cs="Times New Roman"/>
          <w:sz w:val="24"/>
          <w:szCs w:val="24"/>
        </w:rPr>
        <w:t>Полесская</w:t>
      </w:r>
      <w:proofErr w:type="spellEnd"/>
      <w:r w:rsidRPr="00357176">
        <w:rPr>
          <w:rFonts w:ascii="Times New Roman" w:hAnsi="Times New Roman" w:cs="Times New Roman"/>
          <w:sz w:val="24"/>
          <w:szCs w:val="24"/>
        </w:rPr>
        <w:t xml:space="preserve">, 28К, </w:t>
      </w:r>
      <w:r w:rsidRPr="0035717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57176">
        <w:rPr>
          <w:rFonts w:ascii="Times New Roman" w:hAnsi="Times New Roman" w:cs="Times New Roman"/>
          <w:sz w:val="24"/>
          <w:szCs w:val="24"/>
        </w:rPr>
        <w:t>-</w:t>
      </w:r>
      <w:r w:rsidRPr="0035717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57176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secretary</w:t>
        </w:r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interrao</w:t>
        </w:r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orel</w:t>
        </w:r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EC5465" w:rsidRPr="00357176">
        <w:rPr>
          <w:rFonts w:ascii="Times New Roman" w:hAnsi="Times New Roman" w:cs="Times New Roman"/>
          <w:sz w:val="24"/>
          <w:szCs w:val="24"/>
        </w:rPr>
        <w:t xml:space="preserve">. </w:t>
      </w:r>
      <w:r w:rsidRPr="00357176">
        <w:rPr>
          <w:rFonts w:ascii="Times New Roman" w:hAnsi="Times New Roman" w:cs="Times New Roman"/>
          <w:sz w:val="24"/>
          <w:szCs w:val="24"/>
        </w:rPr>
        <w:t>8 (4862) 73-44-73.</w:t>
      </w:r>
    </w:p>
    <w:p w:rsidR="00EC5465" w:rsidRPr="00357176" w:rsidRDefault="00EC5465" w:rsidP="00357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176">
        <w:rPr>
          <w:rFonts w:ascii="Times New Roman" w:hAnsi="Times New Roman" w:cs="Times New Roman"/>
          <w:b/>
          <w:sz w:val="24"/>
          <w:szCs w:val="24"/>
        </w:rPr>
        <w:t>Павлов Юрий Васильевич</w:t>
      </w:r>
      <w:r w:rsidRPr="00357176">
        <w:rPr>
          <w:rFonts w:ascii="Times New Roman" w:hAnsi="Times New Roman" w:cs="Times New Roman"/>
          <w:sz w:val="24"/>
          <w:szCs w:val="24"/>
        </w:rPr>
        <w:t xml:space="preserve"> начальник управления по коммерческим услугам ООО «Орловский энергосбыт». Россия, 302020, г. Орел, ул. </w:t>
      </w:r>
      <w:proofErr w:type="spellStart"/>
      <w:r w:rsidRPr="00357176">
        <w:rPr>
          <w:rFonts w:ascii="Times New Roman" w:hAnsi="Times New Roman" w:cs="Times New Roman"/>
          <w:sz w:val="24"/>
          <w:szCs w:val="24"/>
        </w:rPr>
        <w:t>Полесская</w:t>
      </w:r>
      <w:proofErr w:type="spellEnd"/>
      <w:r w:rsidRPr="00357176">
        <w:rPr>
          <w:rFonts w:ascii="Times New Roman" w:hAnsi="Times New Roman" w:cs="Times New Roman"/>
          <w:sz w:val="24"/>
          <w:szCs w:val="24"/>
        </w:rPr>
        <w:t xml:space="preserve">, 28К, </w:t>
      </w:r>
      <w:r w:rsidR="00357176">
        <w:rPr>
          <w:rFonts w:ascii="Times New Roman" w:hAnsi="Times New Roman" w:cs="Times New Roman"/>
          <w:sz w:val="24"/>
          <w:szCs w:val="24"/>
        </w:rPr>
        <w:br/>
      </w:r>
      <w:r w:rsidRPr="0035717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57176">
        <w:rPr>
          <w:rFonts w:ascii="Times New Roman" w:hAnsi="Times New Roman" w:cs="Times New Roman"/>
          <w:sz w:val="24"/>
          <w:szCs w:val="24"/>
        </w:rPr>
        <w:t>-</w:t>
      </w:r>
      <w:r w:rsidRPr="0035717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57176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pavlov</w:t>
        </w:r>
        <w:r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yv</w:t>
        </w:r>
        <w:r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interrao</w:t>
        </w:r>
        <w:r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orel</w:t>
        </w:r>
        <w:r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357176">
        <w:rPr>
          <w:rFonts w:ascii="Times New Roman" w:hAnsi="Times New Roman" w:cs="Times New Roman"/>
          <w:sz w:val="24"/>
          <w:szCs w:val="24"/>
        </w:rPr>
        <w:t>. 8 (4862) 54-59-55.</w:t>
      </w:r>
    </w:p>
    <w:p w:rsidR="004E3686" w:rsidRPr="00357176" w:rsidRDefault="00357176" w:rsidP="00357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176">
        <w:rPr>
          <w:rFonts w:ascii="Times New Roman" w:hAnsi="Times New Roman" w:cs="Times New Roman"/>
          <w:b/>
          <w:sz w:val="24"/>
          <w:szCs w:val="24"/>
        </w:rPr>
        <w:t>Соколова Елена Викторовна</w:t>
      </w:r>
      <w:r w:rsidR="00EC5465" w:rsidRPr="00357176">
        <w:rPr>
          <w:rFonts w:ascii="Times New Roman" w:hAnsi="Times New Roman" w:cs="Times New Roman"/>
          <w:sz w:val="24"/>
          <w:szCs w:val="24"/>
        </w:rPr>
        <w:t xml:space="preserve"> руководитель направления группы корпоративных коммуникаций и </w:t>
      </w:r>
      <w:r w:rsidR="00EC5465" w:rsidRPr="00357176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EC5465" w:rsidRPr="00357176">
        <w:rPr>
          <w:rFonts w:ascii="Times New Roman" w:hAnsi="Times New Roman" w:cs="Times New Roman"/>
          <w:sz w:val="24"/>
          <w:szCs w:val="24"/>
        </w:rPr>
        <w:t xml:space="preserve"> ООО «Орловский энергосбыт». Россия, 302020, г. Орел, ул. </w:t>
      </w:r>
      <w:proofErr w:type="spellStart"/>
      <w:r w:rsidR="00EC5465" w:rsidRPr="00357176">
        <w:rPr>
          <w:rFonts w:ascii="Times New Roman" w:hAnsi="Times New Roman" w:cs="Times New Roman"/>
          <w:sz w:val="24"/>
          <w:szCs w:val="24"/>
        </w:rPr>
        <w:t>Полесская</w:t>
      </w:r>
      <w:proofErr w:type="spellEnd"/>
      <w:r w:rsidR="00EC5465" w:rsidRPr="00357176">
        <w:rPr>
          <w:rFonts w:ascii="Times New Roman" w:hAnsi="Times New Roman" w:cs="Times New Roman"/>
          <w:sz w:val="24"/>
          <w:szCs w:val="24"/>
        </w:rPr>
        <w:t xml:space="preserve">, 28К, </w:t>
      </w:r>
      <w:r w:rsidR="00EC5465" w:rsidRPr="0035717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C5465" w:rsidRPr="00357176">
        <w:rPr>
          <w:rFonts w:ascii="Times New Roman" w:hAnsi="Times New Roman" w:cs="Times New Roman"/>
          <w:sz w:val="24"/>
          <w:szCs w:val="24"/>
        </w:rPr>
        <w:t>-</w:t>
      </w:r>
      <w:r w:rsidR="00EC5465" w:rsidRPr="0035717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C5465" w:rsidRPr="00357176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sokolova</w:t>
        </w:r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evi</w:t>
        </w:r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interrao</w:t>
        </w:r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orel</w:t>
        </w:r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EC5465" w:rsidRPr="0035717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EC5465" w:rsidRPr="00357176">
        <w:rPr>
          <w:rFonts w:ascii="Times New Roman" w:hAnsi="Times New Roman" w:cs="Times New Roman"/>
          <w:sz w:val="24"/>
          <w:szCs w:val="24"/>
        </w:rPr>
        <w:t xml:space="preserve">. </w:t>
      </w:r>
      <w:r w:rsidR="00EC5465" w:rsidRPr="00357176">
        <w:rPr>
          <w:rFonts w:ascii="Times New Roman" w:hAnsi="Times New Roman" w:cs="Times New Roman"/>
          <w:sz w:val="24"/>
          <w:szCs w:val="24"/>
          <w:lang w:val="en-US"/>
        </w:rPr>
        <w:t>8 (4862) 54-59-90.</w:t>
      </w:r>
    </w:p>
    <w:p w:rsidR="007A7462" w:rsidRPr="00357176" w:rsidRDefault="00357176" w:rsidP="003571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________________</w:t>
      </w:r>
      <w:r w:rsidR="004E3686" w:rsidRPr="003B096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___________________________________________________________</w:t>
      </w:r>
    </w:p>
    <w:p w:rsidR="007A7462" w:rsidRPr="007A7462" w:rsidRDefault="007A7462" w:rsidP="004E3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</w:pPr>
      <w:proofErr w:type="gramStart"/>
      <w:r w:rsidRPr="007A7462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 xml:space="preserve">INSTALLATION OF </w:t>
      </w:r>
      <w:r w:rsidR="00247BAD">
        <w:rPr>
          <w:rFonts w:ascii="Times New Roman" w:hAnsi="Times New Roman" w:cs="Times New Roman"/>
          <w:b/>
          <w:color w:val="202124"/>
          <w:sz w:val="24"/>
          <w:szCs w:val="24"/>
          <w:lang w:val="en-US"/>
        </w:rPr>
        <w:t>SMART METERIN</w:t>
      </w:r>
      <w:r w:rsidR="0012251A">
        <w:rPr>
          <w:rFonts w:ascii="Times New Roman" w:hAnsi="Times New Roman" w:cs="Times New Roman"/>
          <w:b/>
          <w:color w:val="202124"/>
          <w:sz w:val="24"/>
          <w:szCs w:val="24"/>
          <w:lang w:val="en-US"/>
        </w:rPr>
        <w:t>G</w:t>
      </w:r>
      <w:r w:rsidR="00247BAD">
        <w:rPr>
          <w:rFonts w:ascii="Times New Roman" w:hAnsi="Times New Roman" w:cs="Times New Roman"/>
          <w:b/>
          <w:color w:val="202124"/>
          <w:sz w:val="24"/>
          <w:szCs w:val="24"/>
          <w:lang w:val="en-US"/>
        </w:rPr>
        <w:t xml:space="preserve"> ELECTRICITY SISTEMS </w:t>
      </w:r>
      <w:r w:rsidRPr="007A7462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IN A NEW RESIDENTIAL FUND.</w:t>
      </w:r>
      <w:proofErr w:type="gramEnd"/>
      <w:r w:rsidRPr="007A7462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 xml:space="preserve"> SYSTEM ADVANTAGES AND SELECTION OF EQUIPMENT</w:t>
      </w:r>
    </w:p>
    <w:p w:rsidR="0090250F" w:rsidRPr="00B31491" w:rsidRDefault="0090250F" w:rsidP="0090250F">
      <w:pPr>
        <w:pStyle w:val="HTML"/>
        <w:spacing w:line="540" w:lineRule="atLeast"/>
        <w:jc w:val="right"/>
        <w:rPr>
          <w:rFonts w:ascii="Times New Roman" w:hAnsi="Times New Roman" w:cs="Times New Roman"/>
          <w:b/>
          <w:color w:val="202124"/>
          <w:sz w:val="24"/>
          <w:szCs w:val="24"/>
          <w:lang w:val="en-US"/>
        </w:rPr>
      </w:pPr>
      <w:proofErr w:type="spellStart"/>
      <w:r w:rsidRPr="00B31491">
        <w:rPr>
          <w:rFonts w:ascii="Times New Roman" w:hAnsi="Times New Roman" w:cs="Times New Roman"/>
          <w:b/>
          <w:color w:val="202124"/>
          <w:sz w:val="24"/>
          <w:szCs w:val="24"/>
          <w:lang/>
        </w:rPr>
        <w:t>Yurie</w:t>
      </w:r>
      <w:r w:rsidR="007A7462" w:rsidRPr="00B31491">
        <w:rPr>
          <w:rFonts w:ascii="Times New Roman" w:hAnsi="Times New Roman" w:cs="Times New Roman"/>
          <w:b/>
          <w:color w:val="202124"/>
          <w:sz w:val="24"/>
          <w:szCs w:val="24"/>
          <w:lang/>
        </w:rPr>
        <w:t>v</w:t>
      </w:r>
      <w:proofErr w:type="spellEnd"/>
      <w:r w:rsidR="007A7462" w:rsidRPr="00B31491">
        <w:rPr>
          <w:rFonts w:ascii="Times New Roman" w:hAnsi="Times New Roman" w:cs="Times New Roman"/>
          <w:b/>
          <w:color w:val="202124"/>
          <w:sz w:val="24"/>
          <w:szCs w:val="24"/>
          <w:lang/>
        </w:rPr>
        <w:t xml:space="preserve"> </w:t>
      </w:r>
      <w:proofErr w:type="spellStart"/>
      <w:r w:rsidR="007A7462" w:rsidRPr="00B31491">
        <w:rPr>
          <w:rFonts w:ascii="Times New Roman" w:hAnsi="Times New Roman" w:cs="Times New Roman"/>
          <w:b/>
          <w:color w:val="202124"/>
          <w:sz w:val="24"/>
          <w:szCs w:val="24"/>
          <w:lang/>
        </w:rPr>
        <w:t>Yu.N</w:t>
      </w:r>
      <w:proofErr w:type="spellEnd"/>
      <w:r w:rsidR="007A7462" w:rsidRPr="00B31491">
        <w:rPr>
          <w:rFonts w:ascii="Times New Roman" w:hAnsi="Times New Roman" w:cs="Times New Roman"/>
          <w:b/>
          <w:color w:val="202124"/>
          <w:sz w:val="24"/>
          <w:szCs w:val="24"/>
          <w:lang/>
        </w:rPr>
        <w:t>.</w:t>
      </w:r>
      <w:r w:rsidRPr="00B31491">
        <w:rPr>
          <w:rFonts w:ascii="Times New Roman" w:hAnsi="Times New Roman" w:cs="Times New Roman"/>
          <w:b/>
          <w:color w:val="202124"/>
          <w:sz w:val="24"/>
          <w:szCs w:val="24"/>
          <w:lang w:val="en-US"/>
        </w:rPr>
        <w:t xml:space="preserve">, </w:t>
      </w:r>
      <w:r w:rsidRPr="00B31491">
        <w:rPr>
          <w:rFonts w:ascii="Times New Roman" w:hAnsi="Times New Roman" w:cs="Times New Roman"/>
          <w:b/>
          <w:color w:val="202124"/>
          <w:sz w:val="24"/>
          <w:szCs w:val="24"/>
          <w:lang/>
        </w:rPr>
        <w:t xml:space="preserve">Pavlov </w:t>
      </w:r>
      <w:proofErr w:type="spellStart"/>
      <w:r w:rsidRPr="00B31491">
        <w:rPr>
          <w:rFonts w:ascii="Times New Roman" w:hAnsi="Times New Roman" w:cs="Times New Roman"/>
          <w:b/>
          <w:color w:val="202124"/>
          <w:sz w:val="24"/>
          <w:szCs w:val="24"/>
          <w:lang/>
        </w:rPr>
        <w:t>Yu.V</w:t>
      </w:r>
      <w:proofErr w:type="spellEnd"/>
      <w:r w:rsidRPr="00B31491">
        <w:rPr>
          <w:rFonts w:ascii="Times New Roman" w:hAnsi="Times New Roman" w:cs="Times New Roman"/>
          <w:b/>
          <w:color w:val="202124"/>
          <w:sz w:val="24"/>
          <w:szCs w:val="24"/>
          <w:lang/>
        </w:rPr>
        <w:t>.</w:t>
      </w:r>
      <w:r w:rsidRPr="00B31491">
        <w:rPr>
          <w:rFonts w:ascii="Times New Roman" w:hAnsi="Times New Roman" w:cs="Times New Roman"/>
          <w:b/>
          <w:color w:val="202124"/>
          <w:sz w:val="24"/>
          <w:szCs w:val="24"/>
          <w:lang w:val="en-US"/>
        </w:rPr>
        <w:t xml:space="preserve">, </w:t>
      </w:r>
      <w:proofErr w:type="spellStart"/>
      <w:r w:rsidRPr="00B31491">
        <w:rPr>
          <w:rFonts w:ascii="Times New Roman" w:hAnsi="Times New Roman" w:cs="Times New Roman"/>
          <w:b/>
          <w:color w:val="202124"/>
          <w:sz w:val="24"/>
          <w:szCs w:val="24"/>
          <w:lang/>
        </w:rPr>
        <w:t>Sokolova</w:t>
      </w:r>
      <w:proofErr w:type="spellEnd"/>
      <w:r w:rsidRPr="00B31491">
        <w:rPr>
          <w:rFonts w:ascii="Times New Roman" w:hAnsi="Times New Roman" w:cs="Times New Roman"/>
          <w:b/>
          <w:color w:val="202124"/>
          <w:sz w:val="24"/>
          <w:szCs w:val="24"/>
          <w:lang/>
        </w:rPr>
        <w:t xml:space="preserve"> E.V.</w:t>
      </w:r>
    </w:p>
    <w:p w:rsidR="007A7462" w:rsidRPr="004E3686" w:rsidRDefault="007A7462" w:rsidP="004E3686">
      <w:pPr>
        <w:pStyle w:val="HTML"/>
        <w:jc w:val="right"/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</w:pPr>
      <w:r w:rsidRPr="007A7462">
        <w:rPr>
          <w:rFonts w:ascii="Times New Roman" w:hAnsi="Times New Roman" w:cs="Times New Roman"/>
          <w:i/>
          <w:color w:val="202124"/>
          <w:sz w:val="24"/>
          <w:szCs w:val="24"/>
          <w:lang/>
        </w:rPr>
        <w:t xml:space="preserve">Russia, Orel, </w:t>
      </w:r>
      <w:r w:rsidR="004E3686" w:rsidRPr="004E3686">
        <w:rPr>
          <w:rFonts w:ascii="Times New Roman" w:hAnsi="Times New Roman" w:cs="Times New Roman"/>
          <w:i/>
          <w:color w:val="002640"/>
          <w:sz w:val="24"/>
          <w:szCs w:val="24"/>
          <w:shd w:val="clear" w:color="auto" w:fill="FFFFFF"/>
          <w:lang w:val="en-US"/>
        </w:rPr>
        <w:t xml:space="preserve">LLC </w:t>
      </w:r>
      <w:proofErr w:type="spellStart"/>
      <w:r w:rsidR="004E3686" w:rsidRPr="004E3686">
        <w:rPr>
          <w:rFonts w:ascii="Times New Roman" w:hAnsi="Times New Roman" w:cs="Times New Roman"/>
          <w:i/>
          <w:color w:val="002640"/>
          <w:sz w:val="24"/>
          <w:szCs w:val="24"/>
          <w:shd w:val="clear" w:color="auto" w:fill="FFFFFF"/>
          <w:lang w:val="en-US"/>
        </w:rPr>
        <w:t>Orlovskiy</w:t>
      </w:r>
      <w:proofErr w:type="spellEnd"/>
      <w:r w:rsidR="004E3686" w:rsidRPr="004E3686">
        <w:rPr>
          <w:rFonts w:ascii="Times New Roman" w:hAnsi="Times New Roman" w:cs="Times New Roman"/>
          <w:i/>
          <w:color w:val="00264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E3686" w:rsidRPr="004E3686">
        <w:rPr>
          <w:rFonts w:ascii="Times New Roman" w:hAnsi="Times New Roman" w:cs="Times New Roman"/>
          <w:i/>
          <w:color w:val="002640"/>
          <w:sz w:val="24"/>
          <w:szCs w:val="24"/>
          <w:shd w:val="clear" w:color="auto" w:fill="FFFFFF"/>
          <w:lang w:val="en-US"/>
        </w:rPr>
        <w:t>energosbyt</w:t>
      </w:r>
      <w:proofErr w:type="spellEnd"/>
    </w:p>
    <w:p w:rsidR="007A7462" w:rsidRPr="007A7462" w:rsidRDefault="007A7462" w:rsidP="004E3686">
      <w:pPr>
        <w:pStyle w:val="HTML"/>
        <w:rPr>
          <w:rFonts w:ascii="Times New Roman" w:hAnsi="Times New Roman" w:cs="Times New Roman"/>
          <w:i/>
          <w:color w:val="202124"/>
          <w:sz w:val="24"/>
          <w:szCs w:val="24"/>
          <w:lang/>
        </w:rPr>
      </w:pPr>
    </w:p>
    <w:p w:rsidR="004E3686" w:rsidRPr="00357176" w:rsidRDefault="007A7462" w:rsidP="00357176">
      <w:pPr>
        <w:pStyle w:val="HTML"/>
        <w:ind w:firstLine="709"/>
        <w:jc w:val="both"/>
        <w:rPr>
          <w:rFonts w:ascii="Times New Roman" w:hAnsi="Times New Roman" w:cs="Times New Roman"/>
          <w:i/>
          <w:color w:val="202124"/>
          <w:sz w:val="24"/>
          <w:szCs w:val="24"/>
        </w:rPr>
      </w:pPr>
      <w:r w:rsidRPr="007A7462">
        <w:rPr>
          <w:rFonts w:ascii="Times New Roman" w:hAnsi="Times New Roman" w:cs="Times New Roman"/>
          <w:i/>
          <w:color w:val="202124"/>
          <w:sz w:val="24"/>
          <w:szCs w:val="24"/>
          <w:lang/>
        </w:rPr>
        <w:t xml:space="preserve">The purpose of the article is to summarize the experience of using </w:t>
      </w:r>
      <w:r w:rsidR="00F245B4">
        <w:rPr>
          <w:rFonts w:ascii="Times New Roman" w:hAnsi="Times New Roman" w:cs="Times New Roman"/>
          <w:i/>
          <w:color w:val="202124"/>
          <w:sz w:val="24"/>
          <w:szCs w:val="24"/>
          <w:lang/>
        </w:rPr>
        <w:t>Smart Meterin</w:t>
      </w:r>
      <w:r w:rsidR="0012251A">
        <w:rPr>
          <w:rFonts w:ascii="Times New Roman" w:hAnsi="Times New Roman" w:cs="Times New Roman"/>
          <w:i/>
          <w:color w:val="202124"/>
          <w:sz w:val="24"/>
          <w:szCs w:val="24"/>
          <w:lang/>
        </w:rPr>
        <w:t>g</w:t>
      </w:r>
      <w:r w:rsidR="00F245B4">
        <w:rPr>
          <w:rFonts w:ascii="Times New Roman" w:hAnsi="Times New Roman" w:cs="Times New Roman"/>
          <w:i/>
          <w:color w:val="202124"/>
          <w:sz w:val="24"/>
          <w:szCs w:val="24"/>
          <w:lang/>
        </w:rPr>
        <w:t xml:space="preserve"> Electricity </w:t>
      </w:r>
      <w:proofErr w:type="spellStart"/>
      <w:r w:rsidR="00F245B4">
        <w:rPr>
          <w:rFonts w:ascii="Times New Roman" w:hAnsi="Times New Roman" w:cs="Times New Roman"/>
          <w:i/>
          <w:color w:val="202124"/>
          <w:sz w:val="24"/>
          <w:szCs w:val="24"/>
          <w:lang/>
        </w:rPr>
        <w:t>Sistems</w:t>
      </w:r>
      <w:proofErr w:type="spellEnd"/>
      <w:r w:rsidRPr="007A7462">
        <w:rPr>
          <w:rFonts w:ascii="Times New Roman" w:hAnsi="Times New Roman" w:cs="Times New Roman"/>
          <w:i/>
          <w:color w:val="202124"/>
          <w:sz w:val="24"/>
          <w:szCs w:val="24"/>
          <w:lang/>
        </w:rPr>
        <w:t xml:space="preserve"> in multi-apartment residential buildings in terms of choosing the optimal equipment, economic efficiency, technological reliability, functionality and impact on settlements with consumers. As a result of the analysis, the expediency of installing the </w:t>
      </w:r>
      <w:r w:rsidR="00F245B4">
        <w:rPr>
          <w:rFonts w:ascii="Times New Roman" w:hAnsi="Times New Roman" w:cs="Times New Roman"/>
          <w:i/>
          <w:color w:val="202124"/>
          <w:sz w:val="24"/>
          <w:szCs w:val="24"/>
          <w:lang/>
        </w:rPr>
        <w:t>Smart Meterin</w:t>
      </w:r>
      <w:r w:rsidR="0012251A">
        <w:rPr>
          <w:rFonts w:ascii="Times New Roman" w:hAnsi="Times New Roman" w:cs="Times New Roman"/>
          <w:i/>
          <w:color w:val="202124"/>
          <w:sz w:val="24"/>
          <w:szCs w:val="24"/>
          <w:lang/>
        </w:rPr>
        <w:t>g</w:t>
      </w:r>
      <w:r w:rsidR="00F245B4">
        <w:rPr>
          <w:rFonts w:ascii="Times New Roman" w:hAnsi="Times New Roman" w:cs="Times New Roman"/>
          <w:i/>
          <w:color w:val="202124"/>
          <w:sz w:val="24"/>
          <w:szCs w:val="24"/>
          <w:lang/>
        </w:rPr>
        <w:t xml:space="preserve"> Electricity </w:t>
      </w:r>
      <w:proofErr w:type="spellStart"/>
      <w:r w:rsidR="00F245B4">
        <w:rPr>
          <w:rFonts w:ascii="Times New Roman" w:hAnsi="Times New Roman" w:cs="Times New Roman"/>
          <w:i/>
          <w:color w:val="202124"/>
          <w:sz w:val="24"/>
          <w:szCs w:val="24"/>
          <w:lang/>
        </w:rPr>
        <w:t>Sistems</w:t>
      </w:r>
      <w:proofErr w:type="spellEnd"/>
      <w:r w:rsidRPr="007A7462">
        <w:rPr>
          <w:rFonts w:ascii="Times New Roman" w:hAnsi="Times New Roman" w:cs="Times New Roman"/>
          <w:i/>
          <w:color w:val="202124"/>
          <w:sz w:val="24"/>
          <w:szCs w:val="24"/>
          <w:lang/>
        </w:rPr>
        <w:t xml:space="preserve"> was justified and the main characteristics were clarified, due to which the system is able to demonstrate maximum efficiency.</w:t>
      </w:r>
    </w:p>
    <w:p w:rsidR="004E3686" w:rsidRPr="00357176" w:rsidRDefault="004E3686" w:rsidP="00357176">
      <w:pPr>
        <w:pStyle w:val="HTML"/>
        <w:ind w:firstLine="709"/>
        <w:jc w:val="both"/>
        <w:rPr>
          <w:rFonts w:ascii="Times New Roman" w:hAnsi="Times New Roman" w:cs="Times New Roman"/>
          <w:i/>
          <w:color w:val="202124"/>
          <w:sz w:val="24"/>
          <w:szCs w:val="24"/>
        </w:rPr>
      </w:pPr>
      <w:r w:rsidRPr="00357176">
        <w:rPr>
          <w:rFonts w:ascii="Times New Roman" w:hAnsi="Times New Roman" w:cs="Times New Roman"/>
          <w:b/>
          <w:i/>
          <w:color w:val="202124"/>
          <w:sz w:val="24"/>
          <w:szCs w:val="24"/>
          <w:lang/>
        </w:rPr>
        <w:t>Key words:</w:t>
      </w:r>
      <w:r w:rsidRPr="004E3686">
        <w:rPr>
          <w:rFonts w:ascii="Times New Roman" w:hAnsi="Times New Roman" w:cs="Times New Roman"/>
          <w:i/>
          <w:color w:val="202124"/>
          <w:sz w:val="24"/>
          <w:szCs w:val="24"/>
          <w:lang/>
        </w:rPr>
        <w:t xml:space="preserve"> </w:t>
      </w:r>
      <w:r w:rsidR="0090250F">
        <w:rPr>
          <w:rFonts w:ascii="Times New Roman" w:hAnsi="Times New Roman" w:cs="Times New Roman"/>
          <w:i/>
          <w:color w:val="202124"/>
          <w:sz w:val="24"/>
          <w:szCs w:val="24"/>
          <w:lang/>
        </w:rPr>
        <w:t>Smart Meterin</w:t>
      </w:r>
      <w:r w:rsidR="0012251A">
        <w:rPr>
          <w:rFonts w:ascii="Times New Roman" w:hAnsi="Times New Roman" w:cs="Times New Roman"/>
          <w:i/>
          <w:color w:val="202124"/>
          <w:sz w:val="24"/>
          <w:szCs w:val="24"/>
          <w:lang/>
        </w:rPr>
        <w:t>g</w:t>
      </w:r>
      <w:bookmarkStart w:id="0" w:name="_GoBack"/>
      <w:bookmarkEnd w:id="0"/>
      <w:r w:rsidR="0090250F">
        <w:rPr>
          <w:rFonts w:ascii="Times New Roman" w:hAnsi="Times New Roman" w:cs="Times New Roman"/>
          <w:i/>
          <w:color w:val="202124"/>
          <w:sz w:val="24"/>
          <w:szCs w:val="24"/>
          <w:lang/>
        </w:rPr>
        <w:t xml:space="preserve"> Electricity </w:t>
      </w:r>
      <w:proofErr w:type="spellStart"/>
      <w:r w:rsidR="0090250F">
        <w:rPr>
          <w:rFonts w:ascii="Times New Roman" w:hAnsi="Times New Roman" w:cs="Times New Roman"/>
          <w:i/>
          <w:color w:val="202124"/>
          <w:sz w:val="24"/>
          <w:szCs w:val="24"/>
          <w:lang/>
        </w:rPr>
        <w:t>Sistems</w:t>
      </w:r>
      <w:proofErr w:type="spellEnd"/>
      <w:r w:rsidRPr="004E3686">
        <w:rPr>
          <w:rFonts w:ascii="Times New Roman" w:hAnsi="Times New Roman" w:cs="Times New Roman"/>
          <w:i/>
          <w:color w:val="202124"/>
          <w:sz w:val="24"/>
          <w:szCs w:val="24"/>
          <w:lang/>
        </w:rPr>
        <w:t xml:space="preserve">, RS-485, PLC, </w:t>
      </w:r>
      <w:proofErr w:type="spellStart"/>
      <w:r w:rsidRPr="004E3686">
        <w:rPr>
          <w:rFonts w:ascii="Times New Roman" w:hAnsi="Times New Roman" w:cs="Times New Roman"/>
          <w:i/>
          <w:color w:val="202124"/>
          <w:sz w:val="24"/>
          <w:szCs w:val="24"/>
          <w:lang/>
        </w:rPr>
        <w:t>ZigBee</w:t>
      </w:r>
      <w:proofErr w:type="spellEnd"/>
      <w:r w:rsidRPr="004E3686">
        <w:rPr>
          <w:rFonts w:ascii="Times New Roman" w:hAnsi="Times New Roman" w:cs="Times New Roman"/>
          <w:i/>
          <w:color w:val="202124"/>
          <w:sz w:val="24"/>
          <w:szCs w:val="24"/>
          <w:lang/>
        </w:rPr>
        <w:t>, electricity meter, wireless data transmission, ODN, LLC "</w:t>
      </w:r>
      <w:proofErr w:type="spellStart"/>
      <w:r w:rsidRPr="004E3686">
        <w:rPr>
          <w:rFonts w:ascii="Times New Roman" w:hAnsi="Times New Roman" w:cs="Times New Roman"/>
          <w:i/>
          <w:color w:val="202124"/>
          <w:sz w:val="24"/>
          <w:szCs w:val="24"/>
          <w:lang/>
        </w:rPr>
        <w:t>Orlovsky</w:t>
      </w:r>
      <w:proofErr w:type="spellEnd"/>
      <w:r w:rsidRPr="004E3686">
        <w:rPr>
          <w:rFonts w:ascii="Times New Roman" w:hAnsi="Times New Roman" w:cs="Times New Roman"/>
          <w:i/>
          <w:color w:val="202124"/>
          <w:sz w:val="24"/>
          <w:szCs w:val="24"/>
          <w:lang/>
        </w:rPr>
        <w:t xml:space="preserve"> </w:t>
      </w:r>
      <w:proofErr w:type="spellStart"/>
      <w:r w:rsidRPr="004E3686">
        <w:rPr>
          <w:rFonts w:ascii="Times New Roman" w:hAnsi="Times New Roman" w:cs="Times New Roman"/>
          <w:i/>
          <w:color w:val="202124"/>
          <w:sz w:val="24"/>
          <w:szCs w:val="24"/>
          <w:lang/>
        </w:rPr>
        <w:t>Energosbyt</w:t>
      </w:r>
      <w:proofErr w:type="spellEnd"/>
      <w:r w:rsidRPr="004E3686">
        <w:rPr>
          <w:rFonts w:ascii="Times New Roman" w:hAnsi="Times New Roman" w:cs="Times New Roman"/>
          <w:i/>
          <w:color w:val="202124"/>
          <w:sz w:val="24"/>
          <w:szCs w:val="24"/>
          <w:lang/>
        </w:rPr>
        <w:t>"</w:t>
      </w:r>
    </w:p>
    <w:p w:rsidR="00313CD1" w:rsidRDefault="00313CD1" w:rsidP="0090250F">
      <w:pPr>
        <w:pStyle w:val="HTML"/>
        <w:spacing w:line="540" w:lineRule="atLeast"/>
        <w:jc w:val="center"/>
        <w:rPr>
          <w:rFonts w:ascii="Times New Roman" w:hAnsi="Times New Roman" w:cs="Times New Roman"/>
          <w:color w:val="202124"/>
          <w:sz w:val="24"/>
          <w:szCs w:val="24"/>
        </w:rPr>
      </w:pPr>
    </w:p>
    <w:p w:rsidR="0090250F" w:rsidRPr="0090250F" w:rsidRDefault="0090250F" w:rsidP="0090250F">
      <w:pPr>
        <w:pStyle w:val="HTML"/>
        <w:spacing w:line="540" w:lineRule="atLeast"/>
        <w:jc w:val="center"/>
        <w:rPr>
          <w:rFonts w:ascii="Times New Roman" w:hAnsi="Times New Roman" w:cs="Times New Roman"/>
          <w:color w:val="202124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02124"/>
          <w:sz w:val="24"/>
          <w:szCs w:val="24"/>
          <w:lang/>
        </w:rPr>
        <w:lastRenderedPageBreak/>
        <w:t>B</w:t>
      </w:r>
      <w:r w:rsidRPr="0090250F">
        <w:rPr>
          <w:rFonts w:ascii="Times New Roman" w:hAnsi="Times New Roman" w:cs="Times New Roman"/>
          <w:color w:val="202124"/>
          <w:sz w:val="24"/>
          <w:szCs w:val="24"/>
          <w:lang/>
        </w:rPr>
        <w:t>ibliography</w:t>
      </w:r>
    </w:p>
    <w:p w:rsidR="004E3686" w:rsidRPr="00F245B4" w:rsidRDefault="004E3686" w:rsidP="00357176">
      <w:pPr>
        <w:pStyle w:val="HTM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color w:val="202124"/>
          <w:sz w:val="24"/>
          <w:szCs w:val="24"/>
          <w:lang w:val="en-US"/>
        </w:rPr>
      </w:pPr>
      <w:r w:rsidRPr="004E3686">
        <w:rPr>
          <w:rFonts w:ascii="Times New Roman" w:hAnsi="Times New Roman" w:cs="Times New Roman"/>
          <w:color w:val="202124"/>
          <w:sz w:val="24"/>
          <w:szCs w:val="24"/>
          <w:lang/>
        </w:rPr>
        <w:t>Decree of the Government of the Russian Federation of June 19, 2020 No. 890 On the procedure for providing access to the minimum set of functions of intelligent metering syste</w:t>
      </w:r>
      <w:r w:rsidR="00F245B4">
        <w:rPr>
          <w:rFonts w:ascii="Times New Roman" w:hAnsi="Times New Roman" w:cs="Times New Roman"/>
          <w:color w:val="202124"/>
          <w:sz w:val="24"/>
          <w:szCs w:val="24"/>
          <w:lang/>
        </w:rPr>
        <w:t>ms for electric energy (power)</w:t>
      </w:r>
      <w:r w:rsidRPr="004E3686">
        <w:rPr>
          <w:rFonts w:ascii="Times New Roman" w:hAnsi="Times New Roman" w:cs="Times New Roman"/>
          <w:color w:val="202124"/>
          <w:sz w:val="24"/>
          <w:szCs w:val="24"/>
          <w:lang/>
        </w:rPr>
        <w:t>"</w:t>
      </w:r>
      <w:r w:rsidR="00F245B4" w:rsidRPr="00F245B4">
        <w:rPr>
          <w:rFonts w:ascii="Times New Roman" w:hAnsi="Times New Roman" w:cs="Times New Roman"/>
          <w:color w:val="202124"/>
          <w:sz w:val="24"/>
          <w:szCs w:val="24"/>
          <w:lang w:val="en-US"/>
        </w:rPr>
        <w:t>.</w:t>
      </w:r>
    </w:p>
    <w:p w:rsidR="004E3686" w:rsidRPr="004E3686" w:rsidRDefault="004E3686" w:rsidP="00357176">
      <w:pPr>
        <w:pStyle w:val="HTM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color w:val="202124"/>
          <w:sz w:val="24"/>
          <w:szCs w:val="24"/>
          <w:lang/>
        </w:rPr>
      </w:pPr>
      <w:r w:rsidRPr="004E3686">
        <w:rPr>
          <w:rFonts w:ascii="Times New Roman" w:hAnsi="Times New Roman" w:cs="Times New Roman"/>
          <w:color w:val="202124"/>
          <w:sz w:val="24"/>
          <w:szCs w:val="24"/>
          <w:lang/>
        </w:rPr>
        <w:t>Town planning code of the Russian Federation.</w:t>
      </w:r>
    </w:p>
    <w:p w:rsidR="004E3686" w:rsidRPr="004E3686" w:rsidRDefault="004E3686" w:rsidP="003B0969">
      <w:pPr>
        <w:pStyle w:val="HTML"/>
        <w:jc w:val="both"/>
        <w:rPr>
          <w:rFonts w:ascii="Times New Roman" w:hAnsi="Times New Roman" w:cs="Times New Roman"/>
          <w:color w:val="202124"/>
          <w:sz w:val="24"/>
          <w:szCs w:val="24"/>
          <w:lang/>
        </w:rPr>
      </w:pPr>
    </w:p>
    <w:p w:rsidR="004E3686" w:rsidRPr="00EC4BDE" w:rsidRDefault="00EC4BDE" w:rsidP="00EC4BDE">
      <w:pPr>
        <w:pStyle w:val="HTML"/>
        <w:jc w:val="both"/>
        <w:rPr>
          <w:rFonts w:ascii="Times New Roman" w:hAnsi="Times New Roman" w:cs="Times New Roman"/>
          <w:color w:val="202124"/>
          <w:sz w:val="24"/>
          <w:szCs w:val="24"/>
          <w:lang/>
        </w:rPr>
      </w:pPr>
      <w:proofErr w:type="spellStart"/>
      <w:r w:rsidRPr="00EC4BDE">
        <w:rPr>
          <w:rFonts w:ascii="Times New Roman" w:hAnsi="Times New Roman" w:cs="Times New Roman"/>
          <w:b/>
          <w:color w:val="202124"/>
          <w:sz w:val="24"/>
          <w:szCs w:val="24"/>
          <w:lang/>
        </w:rPr>
        <w:t>Yuriev</w:t>
      </w:r>
      <w:proofErr w:type="spellEnd"/>
      <w:r w:rsidRPr="00EC4BDE">
        <w:rPr>
          <w:rFonts w:ascii="Times New Roman" w:hAnsi="Times New Roman" w:cs="Times New Roman"/>
          <w:b/>
          <w:color w:val="202124"/>
          <w:sz w:val="24"/>
          <w:szCs w:val="24"/>
          <w:lang/>
        </w:rPr>
        <w:t xml:space="preserve"> Yuri</w:t>
      </w:r>
      <w:r w:rsidR="004E3686" w:rsidRPr="00EC4BDE">
        <w:rPr>
          <w:rFonts w:ascii="Times New Roman" w:hAnsi="Times New Roman" w:cs="Times New Roman"/>
          <w:b/>
          <w:color w:val="202124"/>
          <w:sz w:val="24"/>
          <w:szCs w:val="24"/>
          <w:lang/>
        </w:rPr>
        <w:t xml:space="preserve"> </w:t>
      </w:r>
      <w:proofErr w:type="spellStart"/>
      <w:r w:rsidR="004E3686" w:rsidRPr="00EC4BDE">
        <w:rPr>
          <w:rFonts w:ascii="Times New Roman" w:hAnsi="Times New Roman" w:cs="Times New Roman"/>
          <w:b/>
          <w:color w:val="202124"/>
          <w:sz w:val="24"/>
          <w:szCs w:val="24"/>
          <w:lang/>
        </w:rPr>
        <w:t>Nikolaevich</w:t>
      </w:r>
      <w:proofErr w:type="spellEnd"/>
      <w:r w:rsidR="004E3686" w:rsidRPr="00EC4BDE">
        <w:rPr>
          <w:rFonts w:ascii="Times New Roman" w:hAnsi="Times New Roman" w:cs="Times New Roman"/>
          <w:color w:val="202124"/>
          <w:sz w:val="24"/>
          <w:szCs w:val="24"/>
          <w:lang/>
        </w:rPr>
        <w:t xml:space="preserve"> </w:t>
      </w:r>
      <w:r w:rsidR="006173EE" w:rsidRPr="00EC4BDE">
        <w:rPr>
          <w:rFonts w:ascii="Times New Roman" w:hAnsi="Times New Roman" w:cs="Times New Roman"/>
          <w:color w:val="202124"/>
          <w:sz w:val="24"/>
          <w:szCs w:val="24"/>
          <w:lang/>
        </w:rPr>
        <w:t>CEO</w:t>
      </w:r>
      <w:r w:rsidR="004E3686" w:rsidRPr="00EC4BDE">
        <w:rPr>
          <w:rFonts w:ascii="Times New Roman" w:hAnsi="Times New Roman" w:cs="Times New Roman"/>
          <w:color w:val="202124"/>
          <w:sz w:val="24"/>
          <w:szCs w:val="24"/>
          <w:lang/>
        </w:rPr>
        <w:t xml:space="preserve"> of </w:t>
      </w:r>
      <w:r w:rsidRPr="00EC4BDE">
        <w:rPr>
          <w:rFonts w:ascii="Times New Roman" w:hAnsi="Times New Roman" w:cs="Times New Roman"/>
          <w:color w:val="002640"/>
          <w:sz w:val="24"/>
          <w:szCs w:val="24"/>
          <w:shd w:val="clear" w:color="auto" w:fill="FFFFFF"/>
          <w:lang w:val="en-US"/>
        </w:rPr>
        <w:t xml:space="preserve">LLC </w:t>
      </w:r>
      <w:proofErr w:type="spellStart"/>
      <w:r w:rsidRPr="00EC4BDE">
        <w:rPr>
          <w:rFonts w:ascii="Times New Roman" w:hAnsi="Times New Roman" w:cs="Times New Roman"/>
          <w:color w:val="002640"/>
          <w:sz w:val="24"/>
          <w:szCs w:val="24"/>
          <w:shd w:val="clear" w:color="auto" w:fill="FFFFFF"/>
          <w:lang w:val="en-US"/>
        </w:rPr>
        <w:t>Orlovskiy</w:t>
      </w:r>
      <w:proofErr w:type="spellEnd"/>
      <w:r w:rsidRPr="00EC4BDE">
        <w:rPr>
          <w:rFonts w:ascii="Times New Roman" w:hAnsi="Times New Roman" w:cs="Times New Roman"/>
          <w:color w:val="00264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C4BDE">
        <w:rPr>
          <w:rFonts w:ascii="Times New Roman" w:hAnsi="Times New Roman" w:cs="Times New Roman"/>
          <w:color w:val="002640"/>
          <w:sz w:val="24"/>
          <w:szCs w:val="24"/>
          <w:shd w:val="clear" w:color="auto" w:fill="FFFFFF"/>
          <w:lang w:val="en-US"/>
        </w:rPr>
        <w:t>energosbyt</w:t>
      </w:r>
      <w:proofErr w:type="spellEnd"/>
      <w:r w:rsidR="004E3686" w:rsidRPr="00EC4BDE">
        <w:rPr>
          <w:rFonts w:ascii="Times New Roman" w:hAnsi="Times New Roman" w:cs="Times New Roman"/>
          <w:color w:val="202124"/>
          <w:sz w:val="24"/>
          <w:szCs w:val="24"/>
          <w:lang/>
        </w:rPr>
        <w:t xml:space="preserve">. Russia, 302020, Orel, </w:t>
      </w:r>
      <w:r w:rsidR="00357176">
        <w:rPr>
          <w:rFonts w:ascii="Times New Roman" w:hAnsi="Times New Roman" w:cs="Times New Roman"/>
          <w:color w:val="202124"/>
          <w:sz w:val="24"/>
          <w:szCs w:val="24"/>
        </w:rPr>
        <w:br/>
      </w:r>
      <w:proofErr w:type="spellStart"/>
      <w:r w:rsidR="004E3686" w:rsidRPr="00EC4BDE">
        <w:rPr>
          <w:rFonts w:ascii="Times New Roman" w:hAnsi="Times New Roman" w:cs="Times New Roman"/>
          <w:color w:val="202124"/>
          <w:sz w:val="24"/>
          <w:szCs w:val="24"/>
          <w:lang/>
        </w:rPr>
        <w:t>st</w:t>
      </w:r>
      <w:proofErr w:type="spellEnd"/>
      <w:r w:rsidR="004E3686" w:rsidRPr="00EC4BDE">
        <w:rPr>
          <w:rFonts w:ascii="Times New Roman" w:hAnsi="Times New Roman" w:cs="Times New Roman"/>
          <w:color w:val="202124"/>
          <w:sz w:val="24"/>
          <w:szCs w:val="24"/>
          <w:lang/>
        </w:rPr>
        <w:t xml:space="preserve">. </w:t>
      </w:r>
      <w:proofErr w:type="spellStart"/>
      <w:r w:rsidR="004E3686" w:rsidRPr="00EC4BDE">
        <w:rPr>
          <w:rFonts w:ascii="Times New Roman" w:hAnsi="Times New Roman" w:cs="Times New Roman"/>
          <w:color w:val="202124"/>
          <w:sz w:val="24"/>
          <w:szCs w:val="24"/>
          <w:lang/>
        </w:rPr>
        <w:t>Polesskaya</w:t>
      </w:r>
      <w:proofErr w:type="spellEnd"/>
      <w:r w:rsidR="004E3686" w:rsidRPr="00EC4BDE">
        <w:rPr>
          <w:rFonts w:ascii="Times New Roman" w:hAnsi="Times New Roman" w:cs="Times New Roman"/>
          <w:color w:val="202124"/>
          <w:sz w:val="24"/>
          <w:szCs w:val="24"/>
          <w:lang/>
        </w:rPr>
        <w:t>, 28K, e-mail: secretary@interrao-orel.ru, 8 (4862) 73-44-73.</w:t>
      </w:r>
    </w:p>
    <w:p w:rsidR="006173EE" w:rsidRPr="00EC4BDE" w:rsidRDefault="006173EE" w:rsidP="00EC4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proofErr w:type="gramStart"/>
      <w:r w:rsidRPr="00EC4BD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 xml:space="preserve">Pavlov Yuri </w:t>
      </w:r>
      <w:proofErr w:type="spellStart"/>
      <w:r w:rsidRPr="00EC4BD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Vasilievich</w:t>
      </w:r>
      <w:proofErr w:type="spellEnd"/>
      <w:r w:rsidRPr="00EC4B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Head of the Commercial Services Department of </w:t>
      </w:r>
      <w:r w:rsidR="00357176">
        <w:rPr>
          <w:rFonts w:ascii="Times New Roman" w:hAnsi="Times New Roman" w:cs="Times New Roman"/>
          <w:color w:val="002640"/>
          <w:sz w:val="24"/>
          <w:szCs w:val="24"/>
          <w:shd w:val="clear" w:color="auto" w:fill="FFFFFF"/>
          <w:lang w:val="en-US"/>
        </w:rPr>
        <w:t xml:space="preserve">LLC </w:t>
      </w:r>
      <w:proofErr w:type="spellStart"/>
      <w:r w:rsidR="00357176">
        <w:rPr>
          <w:rFonts w:ascii="Times New Roman" w:hAnsi="Times New Roman" w:cs="Times New Roman"/>
          <w:color w:val="002640"/>
          <w:sz w:val="24"/>
          <w:szCs w:val="24"/>
          <w:shd w:val="clear" w:color="auto" w:fill="FFFFFF"/>
          <w:lang w:val="en-US"/>
        </w:rPr>
        <w:t>Orlovskiy</w:t>
      </w:r>
      <w:proofErr w:type="spellEnd"/>
      <w:r w:rsidR="00357176" w:rsidRPr="00357176">
        <w:rPr>
          <w:rFonts w:ascii="Times New Roman" w:hAnsi="Times New Roman" w:cs="Times New Roman"/>
          <w:color w:val="00264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C4BDE" w:rsidRPr="00EC4BDE">
        <w:rPr>
          <w:rFonts w:ascii="Times New Roman" w:hAnsi="Times New Roman" w:cs="Times New Roman"/>
          <w:color w:val="002640"/>
          <w:sz w:val="24"/>
          <w:szCs w:val="24"/>
          <w:shd w:val="clear" w:color="auto" w:fill="FFFFFF"/>
          <w:lang w:val="en-US"/>
        </w:rPr>
        <w:t>energosbyt</w:t>
      </w:r>
      <w:proofErr w:type="spellEnd"/>
      <w:r w:rsidRPr="00EC4B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 w:rsidRPr="00EC4B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Russia, 302020, Orel, </w:t>
      </w:r>
      <w:proofErr w:type="spellStart"/>
      <w:r w:rsidRPr="00EC4B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st</w:t>
      </w:r>
      <w:proofErr w:type="spellEnd"/>
      <w:r w:rsidRPr="00EC4B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. </w:t>
      </w:r>
      <w:proofErr w:type="spellStart"/>
      <w:r w:rsidRPr="00EC4B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Polesskaya</w:t>
      </w:r>
      <w:proofErr w:type="spellEnd"/>
      <w:r w:rsidRPr="00EC4B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, 28K, e-mail: pavlov_yv@interrao-orel.ru. 8 (4862) 54-59-55.</w:t>
      </w:r>
    </w:p>
    <w:p w:rsidR="006173EE" w:rsidRPr="00EC4BDE" w:rsidRDefault="006173EE" w:rsidP="00EC4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proofErr w:type="spellStart"/>
      <w:proofErr w:type="gramStart"/>
      <w:r w:rsidRPr="00EC4BD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Sokolova</w:t>
      </w:r>
      <w:proofErr w:type="spellEnd"/>
      <w:r w:rsidRPr="00EC4BD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 xml:space="preserve"> Elena </w:t>
      </w:r>
      <w:proofErr w:type="spellStart"/>
      <w:r w:rsidRPr="00EC4BD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Viktorovna</w:t>
      </w:r>
      <w:proofErr w:type="spellEnd"/>
      <w:r w:rsidRPr="00EC4B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Head of the </w:t>
      </w:r>
      <w:r w:rsidR="00357176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corporate communications and PR</w:t>
      </w:r>
      <w:r w:rsidR="00357176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</w:r>
      <w:r w:rsidR="00357176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group of</w:t>
      </w:r>
      <w:r w:rsidR="00357176" w:rsidRPr="00357176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 xml:space="preserve"> </w:t>
      </w:r>
      <w:r w:rsidR="00EC4BDE" w:rsidRPr="00EC4BDE">
        <w:rPr>
          <w:rFonts w:ascii="Times New Roman" w:hAnsi="Times New Roman" w:cs="Times New Roman"/>
          <w:color w:val="002640"/>
          <w:sz w:val="24"/>
          <w:szCs w:val="24"/>
          <w:shd w:val="clear" w:color="auto" w:fill="FFFFFF"/>
          <w:lang w:val="en-US"/>
        </w:rPr>
        <w:t xml:space="preserve">LLC </w:t>
      </w:r>
      <w:proofErr w:type="spellStart"/>
      <w:r w:rsidR="00EC4BDE" w:rsidRPr="00EC4BDE">
        <w:rPr>
          <w:rFonts w:ascii="Times New Roman" w:hAnsi="Times New Roman" w:cs="Times New Roman"/>
          <w:color w:val="002640"/>
          <w:sz w:val="24"/>
          <w:szCs w:val="24"/>
          <w:shd w:val="clear" w:color="auto" w:fill="FFFFFF"/>
          <w:lang w:val="en-US"/>
        </w:rPr>
        <w:t>Orlovskiy</w:t>
      </w:r>
      <w:proofErr w:type="spellEnd"/>
      <w:r w:rsidR="00EC4BDE" w:rsidRPr="00EC4BDE">
        <w:rPr>
          <w:rFonts w:ascii="Times New Roman" w:hAnsi="Times New Roman" w:cs="Times New Roman"/>
          <w:color w:val="00264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C4BDE" w:rsidRPr="00EC4BDE">
        <w:rPr>
          <w:rFonts w:ascii="Times New Roman" w:hAnsi="Times New Roman" w:cs="Times New Roman"/>
          <w:color w:val="002640"/>
          <w:sz w:val="24"/>
          <w:szCs w:val="24"/>
          <w:shd w:val="clear" w:color="auto" w:fill="FFFFFF"/>
          <w:lang w:val="en-US"/>
        </w:rPr>
        <w:t>energosbyt</w:t>
      </w:r>
      <w:proofErr w:type="spellEnd"/>
      <w:r w:rsidRPr="00EC4B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</w:t>
      </w:r>
      <w:proofErr w:type="gramEnd"/>
      <w:r w:rsidRPr="00EC4B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Russia, 302020, Orel, </w:t>
      </w:r>
      <w:proofErr w:type="spellStart"/>
      <w:r w:rsidRPr="00EC4B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st</w:t>
      </w:r>
      <w:proofErr w:type="spellEnd"/>
      <w:r w:rsidRPr="00EC4B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. </w:t>
      </w:r>
      <w:proofErr w:type="spellStart"/>
      <w:r w:rsidRPr="00EC4B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Polesskaya</w:t>
      </w:r>
      <w:proofErr w:type="spellEnd"/>
      <w:r w:rsidRPr="00EC4B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, 28K, </w:t>
      </w:r>
      <w:r w:rsidR="00357176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</w:r>
      <w:r w:rsidRPr="00EC4B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e-mail: sokolova_evi@interrao-orel.ru. 8 (4862) 54-59-90.</w:t>
      </w:r>
    </w:p>
    <w:p w:rsidR="006173EE" w:rsidRPr="004E3686" w:rsidRDefault="006173EE" w:rsidP="003B0969">
      <w:pPr>
        <w:pStyle w:val="HTML"/>
        <w:jc w:val="both"/>
        <w:rPr>
          <w:rFonts w:ascii="Times New Roman" w:hAnsi="Times New Roman" w:cs="Times New Roman"/>
          <w:color w:val="202124"/>
          <w:sz w:val="24"/>
          <w:szCs w:val="24"/>
          <w:lang w:val="en-US"/>
        </w:rPr>
      </w:pPr>
    </w:p>
    <w:p w:rsidR="007A7462" w:rsidRPr="004E3686" w:rsidRDefault="007A7462" w:rsidP="003B096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7A7462" w:rsidRPr="004E3686" w:rsidSect="00BF283A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0D6" w:rsidRDefault="00EB30D6" w:rsidP="00B816D2">
      <w:pPr>
        <w:spacing w:after="0" w:line="240" w:lineRule="auto"/>
      </w:pPr>
      <w:r>
        <w:separator/>
      </w:r>
    </w:p>
  </w:endnote>
  <w:endnote w:type="continuationSeparator" w:id="1">
    <w:p w:rsidR="00EB30D6" w:rsidRDefault="00EB30D6" w:rsidP="00B8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7242027"/>
      <w:docPartObj>
        <w:docPartGallery w:val="Page Numbers (Bottom of Page)"/>
        <w:docPartUnique/>
      </w:docPartObj>
    </w:sdtPr>
    <w:sdtContent>
      <w:p w:rsidR="006173EE" w:rsidRDefault="00BA0A72">
        <w:pPr>
          <w:pStyle w:val="af2"/>
          <w:jc w:val="right"/>
        </w:pPr>
        <w:r>
          <w:fldChar w:fldCharType="begin"/>
        </w:r>
        <w:r w:rsidR="006173EE">
          <w:instrText>PAGE   \* MERGEFORMAT</w:instrText>
        </w:r>
        <w:r>
          <w:fldChar w:fldCharType="separate"/>
        </w:r>
        <w:r w:rsidR="00313CD1">
          <w:rPr>
            <w:noProof/>
          </w:rPr>
          <w:t>1</w:t>
        </w:r>
        <w:r>
          <w:fldChar w:fldCharType="end"/>
        </w:r>
      </w:p>
    </w:sdtContent>
  </w:sdt>
  <w:p w:rsidR="006173EE" w:rsidRDefault="006173E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0D6" w:rsidRDefault="00EB30D6" w:rsidP="00B816D2">
      <w:pPr>
        <w:spacing w:after="0" w:line="240" w:lineRule="auto"/>
      </w:pPr>
      <w:r>
        <w:separator/>
      </w:r>
    </w:p>
  </w:footnote>
  <w:footnote w:type="continuationSeparator" w:id="1">
    <w:p w:rsidR="00EB30D6" w:rsidRDefault="00EB30D6" w:rsidP="00B816D2">
      <w:pPr>
        <w:spacing w:after="0" w:line="240" w:lineRule="auto"/>
      </w:pPr>
      <w:r>
        <w:continuationSeparator/>
      </w:r>
    </w:p>
  </w:footnote>
  <w:footnote w:id="2">
    <w:p w:rsidR="006173EE" w:rsidRPr="00B367D2" w:rsidRDefault="006173EE" w:rsidP="00BF0B71">
      <w:pPr>
        <w:pStyle w:val="ab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d"/>
        </w:rPr>
        <w:footnoteRef/>
      </w:r>
      <w:r>
        <w:t xml:space="preserve"> </w:t>
      </w:r>
      <w:r w:rsidRPr="00B367D2">
        <w:rPr>
          <w:rFonts w:ascii="Times New Roman" w:hAnsi="Times New Roman" w:cs="Times New Roman"/>
          <w:sz w:val="22"/>
          <w:szCs w:val="22"/>
        </w:rPr>
        <w:t>МКД (здесь и далее) – многоквартирные жилые дома.</w:t>
      </w:r>
    </w:p>
  </w:footnote>
  <w:footnote w:id="3">
    <w:p w:rsidR="006173EE" w:rsidRPr="00B367D2" w:rsidRDefault="006173EE" w:rsidP="00BF0B71">
      <w:pPr>
        <w:pStyle w:val="ab"/>
        <w:jc w:val="both"/>
        <w:rPr>
          <w:rFonts w:ascii="Times New Roman" w:hAnsi="Times New Roman" w:cs="Times New Roman"/>
          <w:sz w:val="22"/>
          <w:szCs w:val="22"/>
        </w:rPr>
      </w:pPr>
      <w:r w:rsidRPr="00B367D2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B367D2">
        <w:rPr>
          <w:rFonts w:ascii="Times New Roman" w:hAnsi="Times New Roman" w:cs="Times New Roman"/>
          <w:sz w:val="22"/>
          <w:szCs w:val="22"/>
        </w:rPr>
        <w:t xml:space="preserve"> ОДН (здесь и далее) – общедомовые нужды.</w:t>
      </w:r>
    </w:p>
  </w:footnote>
  <w:footnote w:id="4">
    <w:p w:rsidR="006173EE" w:rsidRPr="00B367D2" w:rsidRDefault="006173EE" w:rsidP="00BF0B71">
      <w:pPr>
        <w:pStyle w:val="ab"/>
        <w:jc w:val="both"/>
        <w:rPr>
          <w:rFonts w:ascii="Times New Roman" w:hAnsi="Times New Roman" w:cs="Times New Roman"/>
          <w:sz w:val="22"/>
          <w:szCs w:val="22"/>
        </w:rPr>
      </w:pPr>
      <w:r w:rsidRPr="00B367D2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B367D2">
        <w:rPr>
          <w:rFonts w:ascii="Times New Roman" w:hAnsi="Times New Roman" w:cs="Times New Roman"/>
          <w:sz w:val="22"/>
          <w:szCs w:val="22"/>
        </w:rPr>
        <w:t xml:space="preserve"> АИИСКУЭ </w:t>
      </w:r>
      <w:r>
        <w:rPr>
          <w:rFonts w:ascii="Times New Roman" w:hAnsi="Times New Roman" w:cs="Times New Roman"/>
          <w:sz w:val="22"/>
          <w:szCs w:val="22"/>
        </w:rPr>
        <w:t xml:space="preserve">(здесь и далее) </w:t>
      </w:r>
      <w:r w:rsidRPr="00B367D2">
        <w:rPr>
          <w:rFonts w:ascii="Times New Roman" w:hAnsi="Times New Roman" w:cs="Times New Roman"/>
          <w:sz w:val="22"/>
          <w:szCs w:val="22"/>
        </w:rPr>
        <w:t>– автоматизированная информационно-измерительная система коммерческого учета электроэнергии.</w:t>
      </w:r>
    </w:p>
  </w:footnote>
  <w:footnote w:id="5">
    <w:p w:rsidR="00D56E26" w:rsidRPr="000F7F2A" w:rsidRDefault="00D56E26" w:rsidP="00AC745A">
      <w:pPr>
        <w:pStyle w:val="ab"/>
        <w:jc w:val="both"/>
        <w:rPr>
          <w:rFonts w:ascii="Times New Roman" w:hAnsi="Times New Roman" w:cs="Times New Roman"/>
          <w:sz w:val="22"/>
          <w:szCs w:val="22"/>
        </w:rPr>
      </w:pPr>
      <w:r w:rsidRPr="00BF0B71">
        <w:rPr>
          <w:rStyle w:val="ad"/>
        </w:rPr>
        <w:footnoteRef/>
      </w:r>
      <w:r w:rsidRPr="00BF0B71">
        <w:t xml:space="preserve"> </w:t>
      </w:r>
      <w:r w:rsidRPr="00BF0B71">
        <w:rPr>
          <w:rFonts w:ascii="Times New Roman" w:hAnsi="Times New Roman" w:cs="Times New Roman"/>
          <w:sz w:val="22"/>
          <w:szCs w:val="22"/>
        </w:rPr>
        <w:t>В данной статье понятия «гарантирующий поставщик» и «</w:t>
      </w:r>
      <w:proofErr w:type="spellStart"/>
      <w:r w:rsidRPr="00BF0B71">
        <w:rPr>
          <w:rFonts w:ascii="Times New Roman" w:hAnsi="Times New Roman" w:cs="Times New Roman"/>
          <w:sz w:val="22"/>
          <w:szCs w:val="22"/>
        </w:rPr>
        <w:t>энергосбытовая</w:t>
      </w:r>
      <w:proofErr w:type="spellEnd"/>
      <w:r w:rsidRPr="00BF0B71">
        <w:rPr>
          <w:rFonts w:ascii="Times New Roman" w:hAnsi="Times New Roman" w:cs="Times New Roman"/>
          <w:sz w:val="22"/>
          <w:szCs w:val="22"/>
        </w:rPr>
        <w:t xml:space="preserve"> компания» тождественны. Однако необходимо помнить, что </w:t>
      </w:r>
      <w:r w:rsidR="000F7F2A" w:rsidRPr="00BF0B71">
        <w:rPr>
          <w:rFonts w:ascii="Times New Roman" w:hAnsi="Times New Roman" w:cs="Times New Roman"/>
          <w:sz w:val="22"/>
          <w:szCs w:val="22"/>
        </w:rPr>
        <w:t xml:space="preserve">в целом гарантирующий поставщик – </w:t>
      </w:r>
      <w:r w:rsidR="00AC745A" w:rsidRPr="00BF0B71">
        <w:rPr>
          <w:rFonts w:ascii="Times New Roman" w:hAnsi="Times New Roman" w:cs="Times New Roman"/>
          <w:sz w:val="22"/>
          <w:szCs w:val="22"/>
        </w:rPr>
        <w:t xml:space="preserve">особый статус, </w:t>
      </w:r>
      <w:r w:rsidR="00E14033" w:rsidRPr="00BF0B71">
        <w:rPr>
          <w:rFonts w:ascii="Times New Roman" w:hAnsi="Times New Roman" w:cs="Times New Roman"/>
          <w:sz w:val="22"/>
          <w:szCs w:val="22"/>
        </w:rPr>
        <w:t xml:space="preserve">в соответствии с законодательством </w:t>
      </w:r>
      <w:r w:rsidR="00BF0B71" w:rsidRPr="00BF0B71">
        <w:rPr>
          <w:rFonts w:ascii="Times New Roman" w:hAnsi="Times New Roman" w:cs="Times New Roman"/>
          <w:sz w:val="22"/>
          <w:szCs w:val="22"/>
        </w:rPr>
        <w:t xml:space="preserve">наделяющий </w:t>
      </w:r>
      <w:proofErr w:type="spellStart"/>
      <w:r w:rsidR="00BF0B71" w:rsidRPr="00BF0B71">
        <w:rPr>
          <w:rFonts w:ascii="Times New Roman" w:hAnsi="Times New Roman" w:cs="Times New Roman"/>
          <w:sz w:val="22"/>
          <w:szCs w:val="22"/>
        </w:rPr>
        <w:t>энергосбытовые</w:t>
      </w:r>
      <w:proofErr w:type="spellEnd"/>
      <w:r w:rsidR="00BF0B71" w:rsidRPr="00BF0B71">
        <w:rPr>
          <w:rFonts w:ascii="Times New Roman" w:hAnsi="Times New Roman" w:cs="Times New Roman"/>
          <w:sz w:val="22"/>
          <w:szCs w:val="22"/>
        </w:rPr>
        <w:t xml:space="preserve"> компании </w:t>
      </w:r>
      <w:r w:rsidR="000F7F2A" w:rsidRPr="00BF0B71">
        <w:rPr>
          <w:rFonts w:ascii="Times New Roman" w:hAnsi="Times New Roman" w:cs="Times New Roman"/>
          <w:sz w:val="22"/>
          <w:szCs w:val="22"/>
        </w:rPr>
        <w:t>социальными обязательствами.</w:t>
      </w:r>
      <w:r w:rsidR="000F7F2A" w:rsidRPr="000F7F2A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6">
    <w:p w:rsidR="006173EE" w:rsidRPr="00453490" w:rsidRDefault="006173EE" w:rsidP="00E14033">
      <w:pPr>
        <w:pStyle w:val="1"/>
        <w:spacing w:before="0" w:beforeAutospacing="0"/>
        <w:jc w:val="both"/>
        <w:rPr>
          <w:b w:val="0"/>
          <w:color w:val="000000" w:themeColor="text1"/>
          <w:sz w:val="22"/>
          <w:szCs w:val="22"/>
        </w:rPr>
      </w:pPr>
      <w:r w:rsidRPr="00453490">
        <w:rPr>
          <w:rStyle w:val="ad"/>
          <w:sz w:val="22"/>
          <w:szCs w:val="22"/>
        </w:rPr>
        <w:footnoteRef/>
      </w:r>
      <w:r w:rsidRPr="00453490">
        <w:rPr>
          <w:sz w:val="22"/>
          <w:szCs w:val="22"/>
        </w:rPr>
        <w:t xml:space="preserve"> </w:t>
      </w:r>
      <w:r w:rsidRPr="00453490">
        <w:rPr>
          <w:b w:val="0"/>
          <w:color w:val="000000" w:themeColor="text1"/>
          <w:sz w:val="22"/>
          <w:szCs w:val="22"/>
          <w:lang w:val="en-US"/>
        </w:rPr>
        <w:t>PLC</w:t>
      </w:r>
      <w:r w:rsidRPr="00453490">
        <w:rPr>
          <w:b w:val="0"/>
          <w:color w:val="000000" w:themeColor="text1"/>
          <w:sz w:val="22"/>
          <w:szCs w:val="22"/>
        </w:rPr>
        <w:t xml:space="preserve"> (</w:t>
      </w:r>
      <w:r w:rsidRPr="00453490">
        <w:rPr>
          <w:b w:val="0"/>
          <w:color w:val="000000" w:themeColor="text1"/>
          <w:sz w:val="22"/>
          <w:szCs w:val="22"/>
          <w:lang w:val="en-US"/>
        </w:rPr>
        <w:t>Power</w:t>
      </w:r>
      <w:r w:rsidRPr="00453490">
        <w:rPr>
          <w:b w:val="0"/>
          <w:color w:val="000000" w:themeColor="text1"/>
          <w:sz w:val="22"/>
          <w:szCs w:val="22"/>
        </w:rPr>
        <w:t xml:space="preserve"> </w:t>
      </w:r>
      <w:r w:rsidRPr="00453490">
        <w:rPr>
          <w:b w:val="0"/>
          <w:color w:val="000000" w:themeColor="text1"/>
          <w:sz w:val="22"/>
          <w:szCs w:val="22"/>
          <w:lang w:val="en-US"/>
        </w:rPr>
        <w:t>Line</w:t>
      </w:r>
      <w:r w:rsidRPr="00453490">
        <w:rPr>
          <w:b w:val="0"/>
          <w:color w:val="000000" w:themeColor="text1"/>
          <w:sz w:val="22"/>
          <w:szCs w:val="22"/>
        </w:rPr>
        <w:t xml:space="preserve"> </w:t>
      </w:r>
      <w:r w:rsidRPr="00453490">
        <w:rPr>
          <w:b w:val="0"/>
          <w:color w:val="000000" w:themeColor="text1"/>
          <w:sz w:val="22"/>
          <w:szCs w:val="22"/>
          <w:lang w:val="en-US"/>
        </w:rPr>
        <w:t>Communication</w:t>
      </w:r>
      <w:r w:rsidRPr="00453490">
        <w:rPr>
          <w:b w:val="0"/>
          <w:color w:val="000000" w:themeColor="text1"/>
          <w:sz w:val="22"/>
          <w:szCs w:val="22"/>
        </w:rPr>
        <w:t xml:space="preserve">) – </w:t>
      </w:r>
      <w:r>
        <w:rPr>
          <w:b w:val="0"/>
          <w:color w:val="000000" w:themeColor="text1"/>
          <w:sz w:val="22"/>
          <w:szCs w:val="22"/>
        </w:rPr>
        <w:t xml:space="preserve">телекоммуникационная технология, построенная на использовании электросетей для высокоскоростного обмена информацией. </w:t>
      </w:r>
    </w:p>
  </w:footnote>
  <w:footnote w:id="7">
    <w:p w:rsidR="006173EE" w:rsidRPr="00013EB0" w:rsidRDefault="006173EE" w:rsidP="00E14033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BF0B71">
        <w:rPr>
          <w:rFonts w:ascii="Times New Roman" w:hAnsi="Times New Roman" w:cs="Times New Roman"/>
          <w:sz w:val="22"/>
          <w:szCs w:val="22"/>
          <w:lang w:val="en-US"/>
        </w:rPr>
        <w:t>ZigBee</w:t>
      </w:r>
      <w:r w:rsidRPr="00BF0B71">
        <w:rPr>
          <w:rFonts w:ascii="Times New Roman" w:hAnsi="Times New Roman" w:cs="Times New Roman"/>
          <w:sz w:val="22"/>
          <w:szCs w:val="22"/>
        </w:rPr>
        <w:t xml:space="preserve"> – технология беспроводной передачи данных, позволяющая организовывать саморегулируемые и самовосстанавливающиеся сети с ретрансляцией сообщений. Обладает высокой помехоустойчивостью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</w:footnote>
  <w:footnote w:id="8">
    <w:p w:rsidR="006173EE" w:rsidRPr="00B833FE" w:rsidRDefault="006173EE">
      <w:pPr>
        <w:pStyle w:val="ab"/>
        <w:rPr>
          <w:rFonts w:ascii="Times New Roman" w:hAnsi="Times New Roman" w:cs="Times New Roman"/>
          <w:sz w:val="22"/>
          <w:szCs w:val="22"/>
        </w:rPr>
      </w:pPr>
      <w:r>
        <w:rPr>
          <w:rStyle w:val="ad"/>
        </w:rPr>
        <w:footnoteRef/>
      </w:r>
      <w:r>
        <w:t xml:space="preserve"> </w:t>
      </w:r>
      <w:r w:rsidRPr="00BF0B71">
        <w:rPr>
          <w:rFonts w:ascii="Times New Roman" w:hAnsi="Times New Roman" w:cs="Times New Roman"/>
          <w:sz w:val="22"/>
          <w:szCs w:val="22"/>
        </w:rPr>
        <w:t>УСПД – устройство сбора и передачи данных.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F79A9"/>
    <w:multiLevelType w:val="hybridMultilevel"/>
    <w:tmpl w:val="3B848B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DA3699"/>
    <w:multiLevelType w:val="hybridMultilevel"/>
    <w:tmpl w:val="98CC6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75875"/>
    <w:multiLevelType w:val="hybridMultilevel"/>
    <w:tmpl w:val="59AC8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195"/>
    <w:rsid w:val="0001160A"/>
    <w:rsid w:val="00013EB0"/>
    <w:rsid w:val="000709A8"/>
    <w:rsid w:val="00096D7B"/>
    <w:rsid w:val="000A71C2"/>
    <w:rsid w:val="000C0FC4"/>
    <w:rsid w:val="000D0102"/>
    <w:rsid w:val="000E0781"/>
    <w:rsid w:val="000E491D"/>
    <w:rsid w:val="000F7F2A"/>
    <w:rsid w:val="00107B24"/>
    <w:rsid w:val="00115145"/>
    <w:rsid w:val="0012251A"/>
    <w:rsid w:val="00123476"/>
    <w:rsid w:val="001524B4"/>
    <w:rsid w:val="00161A8E"/>
    <w:rsid w:val="00164633"/>
    <w:rsid w:val="001B189D"/>
    <w:rsid w:val="001B3974"/>
    <w:rsid w:val="001C2904"/>
    <w:rsid w:val="001D1E37"/>
    <w:rsid w:val="001F47BB"/>
    <w:rsid w:val="001F47D8"/>
    <w:rsid w:val="0020112D"/>
    <w:rsid w:val="0020552A"/>
    <w:rsid w:val="00213F00"/>
    <w:rsid w:val="0022129C"/>
    <w:rsid w:val="00225523"/>
    <w:rsid w:val="0023381C"/>
    <w:rsid w:val="00247BAD"/>
    <w:rsid w:val="0025118B"/>
    <w:rsid w:val="00280755"/>
    <w:rsid w:val="00282E4D"/>
    <w:rsid w:val="00294840"/>
    <w:rsid w:val="002A051E"/>
    <w:rsid w:val="002E5FB7"/>
    <w:rsid w:val="00304901"/>
    <w:rsid w:val="00305C82"/>
    <w:rsid w:val="003112D5"/>
    <w:rsid w:val="00313CD1"/>
    <w:rsid w:val="00317B4F"/>
    <w:rsid w:val="0035543E"/>
    <w:rsid w:val="00357176"/>
    <w:rsid w:val="00361046"/>
    <w:rsid w:val="00361A99"/>
    <w:rsid w:val="00363064"/>
    <w:rsid w:val="003659DE"/>
    <w:rsid w:val="003A6ED1"/>
    <w:rsid w:val="003A75FE"/>
    <w:rsid w:val="003A7BB0"/>
    <w:rsid w:val="003B0969"/>
    <w:rsid w:val="003B5D1F"/>
    <w:rsid w:val="003C24A8"/>
    <w:rsid w:val="003D12C9"/>
    <w:rsid w:val="003D7A9E"/>
    <w:rsid w:val="003F6B90"/>
    <w:rsid w:val="0040278E"/>
    <w:rsid w:val="004500A7"/>
    <w:rsid w:val="00453490"/>
    <w:rsid w:val="00467EBF"/>
    <w:rsid w:val="00474563"/>
    <w:rsid w:val="00491C26"/>
    <w:rsid w:val="004A3283"/>
    <w:rsid w:val="004A743A"/>
    <w:rsid w:val="004C7EC1"/>
    <w:rsid w:val="004D24F5"/>
    <w:rsid w:val="004E3686"/>
    <w:rsid w:val="004F479D"/>
    <w:rsid w:val="005133CF"/>
    <w:rsid w:val="005174BF"/>
    <w:rsid w:val="00526F21"/>
    <w:rsid w:val="005447D0"/>
    <w:rsid w:val="00546C4F"/>
    <w:rsid w:val="00550616"/>
    <w:rsid w:val="00570D7F"/>
    <w:rsid w:val="00571194"/>
    <w:rsid w:val="005A624E"/>
    <w:rsid w:val="005C3B8F"/>
    <w:rsid w:val="005D3BB3"/>
    <w:rsid w:val="005D6F24"/>
    <w:rsid w:val="005E0829"/>
    <w:rsid w:val="005E22D3"/>
    <w:rsid w:val="005F7AB4"/>
    <w:rsid w:val="00606953"/>
    <w:rsid w:val="00611B66"/>
    <w:rsid w:val="00612855"/>
    <w:rsid w:val="00614325"/>
    <w:rsid w:val="00615C63"/>
    <w:rsid w:val="006173EE"/>
    <w:rsid w:val="00641034"/>
    <w:rsid w:val="0066551A"/>
    <w:rsid w:val="00671DE3"/>
    <w:rsid w:val="00672BA0"/>
    <w:rsid w:val="00697BA6"/>
    <w:rsid w:val="006B29F3"/>
    <w:rsid w:val="006B473B"/>
    <w:rsid w:val="006B679B"/>
    <w:rsid w:val="006C6819"/>
    <w:rsid w:val="006E3C78"/>
    <w:rsid w:val="006E5767"/>
    <w:rsid w:val="00714398"/>
    <w:rsid w:val="007219D4"/>
    <w:rsid w:val="0073062C"/>
    <w:rsid w:val="0078645F"/>
    <w:rsid w:val="007904F9"/>
    <w:rsid w:val="00797053"/>
    <w:rsid w:val="007A7462"/>
    <w:rsid w:val="007B381D"/>
    <w:rsid w:val="007C07D9"/>
    <w:rsid w:val="007E3785"/>
    <w:rsid w:val="007F77A3"/>
    <w:rsid w:val="00803AA6"/>
    <w:rsid w:val="00805281"/>
    <w:rsid w:val="00830195"/>
    <w:rsid w:val="00833CA0"/>
    <w:rsid w:val="008410EA"/>
    <w:rsid w:val="00846629"/>
    <w:rsid w:val="00856E62"/>
    <w:rsid w:val="00875479"/>
    <w:rsid w:val="008A557F"/>
    <w:rsid w:val="008A7A02"/>
    <w:rsid w:val="008C0117"/>
    <w:rsid w:val="0090250F"/>
    <w:rsid w:val="0091077A"/>
    <w:rsid w:val="009155A5"/>
    <w:rsid w:val="00915A2D"/>
    <w:rsid w:val="009945FE"/>
    <w:rsid w:val="009C14E6"/>
    <w:rsid w:val="009E529A"/>
    <w:rsid w:val="009F12C9"/>
    <w:rsid w:val="00A00988"/>
    <w:rsid w:val="00A021C6"/>
    <w:rsid w:val="00A1786C"/>
    <w:rsid w:val="00A5589D"/>
    <w:rsid w:val="00A60AFF"/>
    <w:rsid w:val="00A618D1"/>
    <w:rsid w:val="00A659B3"/>
    <w:rsid w:val="00A71979"/>
    <w:rsid w:val="00A72445"/>
    <w:rsid w:val="00A847E5"/>
    <w:rsid w:val="00A916D7"/>
    <w:rsid w:val="00A92992"/>
    <w:rsid w:val="00A9685A"/>
    <w:rsid w:val="00AA120C"/>
    <w:rsid w:val="00AC745A"/>
    <w:rsid w:val="00AD7512"/>
    <w:rsid w:val="00B027E9"/>
    <w:rsid w:val="00B22B06"/>
    <w:rsid w:val="00B24EEA"/>
    <w:rsid w:val="00B31491"/>
    <w:rsid w:val="00B339D2"/>
    <w:rsid w:val="00B367D2"/>
    <w:rsid w:val="00B41829"/>
    <w:rsid w:val="00B51346"/>
    <w:rsid w:val="00B55493"/>
    <w:rsid w:val="00B55D03"/>
    <w:rsid w:val="00B5641F"/>
    <w:rsid w:val="00B74DB4"/>
    <w:rsid w:val="00B816D2"/>
    <w:rsid w:val="00B833FE"/>
    <w:rsid w:val="00BA0809"/>
    <w:rsid w:val="00BA0A72"/>
    <w:rsid w:val="00BA4AE2"/>
    <w:rsid w:val="00BB0A6E"/>
    <w:rsid w:val="00BF0B71"/>
    <w:rsid w:val="00BF1778"/>
    <w:rsid w:val="00BF228A"/>
    <w:rsid w:val="00BF283A"/>
    <w:rsid w:val="00C00CA5"/>
    <w:rsid w:val="00C420A7"/>
    <w:rsid w:val="00C84442"/>
    <w:rsid w:val="00C95A16"/>
    <w:rsid w:val="00CA12EA"/>
    <w:rsid w:val="00CA6F04"/>
    <w:rsid w:val="00CE579F"/>
    <w:rsid w:val="00D0296E"/>
    <w:rsid w:val="00D04888"/>
    <w:rsid w:val="00D15FF7"/>
    <w:rsid w:val="00D2731C"/>
    <w:rsid w:val="00D31130"/>
    <w:rsid w:val="00D335F8"/>
    <w:rsid w:val="00D5238E"/>
    <w:rsid w:val="00D524E0"/>
    <w:rsid w:val="00D5429B"/>
    <w:rsid w:val="00D56E26"/>
    <w:rsid w:val="00D67E15"/>
    <w:rsid w:val="00D83742"/>
    <w:rsid w:val="00D84537"/>
    <w:rsid w:val="00D91D69"/>
    <w:rsid w:val="00D952C6"/>
    <w:rsid w:val="00DB3638"/>
    <w:rsid w:val="00DB4B9B"/>
    <w:rsid w:val="00DD18FD"/>
    <w:rsid w:val="00DD3002"/>
    <w:rsid w:val="00DE3D6D"/>
    <w:rsid w:val="00DE4CEB"/>
    <w:rsid w:val="00DF5AC6"/>
    <w:rsid w:val="00E0146B"/>
    <w:rsid w:val="00E01DB8"/>
    <w:rsid w:val="00E107A1"/>
    <w:rsid w:val="00E12A16"/>
    <w:rsid w:val="00E14033"/>
    <w:rsid w:val="00E213E8"/>
    <w:rsid w:val="00E245CB"/>
    <w:rsid w:val="00E24674"/>
    <w:rsid w:val="00E4284D"/>
    <w:rsid w:val="00E61759"/>
    <w:rsid w:val="00E658A8"/>
    <w:rsid w:val="00E8145E"/>
    <w:rsid w:val="00E95AB7"/>
    <w:rsid w:val="00EA37DF"/>
    <w:rsid w:val="00EA5953"/>
    <w:rsid w:val="00EA5AD9"/>
    <w:rsid w:val="00EB30D6"/>
    <w:rsid w:val="00EC4BDE"/>
    <w:rsid w:val="00EC5465"/>
    <w:rsid w:val="00EC774D"/>
    <w:rsid w:val="00EE2CD0"/>
    <w:rsid w:val="00F063B7"/>
    <w:rsid w:val="00F11575"/>
    <w:rsid w:val="00F175AF"/>
    <w:rsid w:val="00F245B4"/>
    <w:rsid w:val="00F511A2"/>
    <w:rsid w:val="00F568AA"/>
    <w:rsid w:val="00F6261B"/>
    <w:rsid w:val="00F80F99"/>
    <w:rsid w:val="00F816A0"/>
    <w:rsid w:val="00F84EB5"/>
    <w:rsid w:val="00F95D07"/>
    <w:rsid w:val="00FA2959"/>
    <w:rsid w:val="00FB46CF"/>
    <w:rsid w:val="00FC1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72"/>
  </w:style>
  <w:style w:type="paragraph" w:styleId="1">
    <w:name w:val="heading 1"/>
    <w:basedOn w:val="a"/>
    <w:link w:val="10"/>
    <w:uiPriority w:val="9"/>
    <w:qFormat/>
    <w:rsid w:val="0036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8410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10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10E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10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410E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10E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59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B816D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816D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816D2"/>
    <w:rPr>
      <w:vertAlign w:val="superscript"/>
    </w:rPr>
  </w:style>
  <w:style w:type="table" w:styleId="ae">
    <w:name w:val="Table Grid"/>
    <w:basedOn w:val="a1"/>
    <w:uiPriority w:val="39"/>
    <w:rsid w:val="006B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D2731C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CE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E579F"/>
  </w:style>
  <w:style w:type="paragraph" w:styleId="af2">
    <w:name w:val="footer"/>
    <w:basedOn w:val="a"/>
    <w:link w:val="af3"/>
    <w:uiPriority w:val="99"/>
    <w:unhideWhenUsed/>
    <w:rsid w:val="00CE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E579F"/>
  </w:style>
  <w:style w:type="character" w:styleId="af4">
    <w:name w:val="Hyperlink"/>
    <w:basedOn w:val="a0"/>
    <w:uiPriority w:val="99"/>
    <w:unhideWhenUsed/>
    <w:rsid w:val="007A746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A7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746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kolova_evi@interrao-ore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vlov_yv@interrao-ore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y@interrao-ore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C085D-C8A5-45D1-A176-9CD11A8E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3434</Words>
  <Characters>19577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Викторовна</dc:creator>
  <cp:keywords/>
  <dc:description/>
  <cp:lastModifiedBy>Admin</cp:lastModifiedBy>
  <cp:revision>3</cp:revision>
  <dcterms:created xsi:type="dcterms:W3CDTF">2020-12-07T08:14:00Z</dcterms:created>
  <dcterms:modified xsi:type="dcterms:W3CDTF">2020-12-07T07:54:00Z</dcterms:modified>
</cp:coreProperties>
</file>