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731A" w:rsidRPr="00592812" w:rsidRDefault="00CD2269" w:rsidP="00D17892">
      <w:pPr>
        <w:spacing w:after="0" w:line="240" w:lineRule="auto"/>
        <w:rPr>
          <w:rFonts w:ascii="Times New Roman" w:hAnsi="Times New Roman" w:cs="Times New Roman"/>
          <w:sz w:val="24"/>
          <w:szCs w:val="24"/>
        </w:rPr>
      </w:pPr>
      <w:r>
        <w:rPr>
          <w:rFonts w:ascii="Times New Roman" w:hAnsi="Times New Roman" w:cs="Times New Roman"/>
          <w:sz w:val="24"/>
          <w:szCs w:val="24"/>
        </w:rPr>
        <w:t>УДК</w:t>
      </w:r>
      <w:r w:rsidRPr="00592812">
        <w:rPr>
          <w:rFonts w:ascii="Times New Roman" w:hAnsi="Times New Roman" w:cs="Times New Roman"/>
          <w:sz w:val="24"/>
          <w:szCs w:val="24"/>
        </w:rPr>
        <w:t xml:space="preserve"> 621.311.23:</w:t>
      </w:r>
      <w:r w:rsidR="00920672">
        <w:rPr>
          <w:rFonts w:ascii="Times New Roman" w:hAnsi="Times New Roman" w:cs="Times New Roman"/>
          <w:sz w:val="24"/>
          <w:szCs w:val="24"/>
        </w:rPr>
        <w:t xml:space="preserve"> </w:t>
      </w:r>
      <w:r w:rsidRPr="00592812">
        <w:rPr>
          <w:rFonts w:ascii="Times New Roman" w:hAnsi="Times New Roman" w:cs="Times New Roman"/>
          <w:sz w:val="24"/>
          <w:szCs w:val="24"/>
        </w:rPr>
        <w:t>621.311.238</w:t>
      </w:r>
    </w:p>
    <w:p w:rsidR="00EC65A3" w:rsidRDefault="00B87575" w:rsidP="00D17892">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ЭФФ</w:t>
      </w:r>
      <w:r w:rsidR="0028109D">
        <w:rPr>
          <w:rFonts w:ascii="Times New Roman" w:hAnsi="Times New Roman" w:cs="Times New Roman"/>
          <w:b/>
          <w:sz w:val="24"/>
          <w:szCs w:val="24"/>
        </w:rPr>
        <w:t>ЕКТИВНОСТЬ ИСПОЛЬЗОВАНИЯ ТОПЛИВА</w:t>
      </w:r>
      <w:r>
        <w:rPr>
          <w:rFonts w:ascii="Times New Roman" w:hAnsi="Times New Roman" w:cs="Times New Roman"/>
          <w:b/>
          <w:sz w:val="24"/>
          <w:szCs w:val="24"/>
        </w:rPr>
        <w:t xml:space="preserve"> ГАЗОПОРШНЕВЫМИ</w:t>
      </w:r>
    </w:p>
    <w:p w:rsidR="00B87575" w:rsidRPr="009E0E3D" w:rsidRDefault="00B87575" w:rsidP="00D17892">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И </w:t>
      </w:r>
      <w:r w:rsidR="00653760">
        <w:rPr>
          <w:rFonts w:ascii="Times New Roman" w:hAnsi="Times New Roman" w:cs="Times New Roman"/>
          <w:b/>
          <w:sz w:val="24"/>
          <w:szCs w:val="24"/>
        </w:rPr>
        <w:t>ГАЗОТУРБИННЫМИ ЭЛЕКТРОСТАНЦИЯМИ.</w:t>
      </w:r>
    </w:p>
    <w:p w:rsidR="00D17892" w:rsidRPr="009E0E3D" w:rsidRDefault="00D17892" w:rsidP="00D17892">
      <w:pPr>
        <w:spacing w:after="0" w:line="240" w:lineRule="auto"/>
        <w:jc w:val="center"/>
        <w:rPr>
          <w:rFonts w:ascii="Times New Roman" w:hAnsi="Times New Roman" w:cs="Times New Roman"/>
          <w:b/>
          <w:sz w:val="24"/>
          <w:szCs w:val="24"/>
        </w:rPr>
      </w:pPr>
    </w:p>
    <w:p w:rsidR="004D764D" w:rsidRPr="004D764D" w:rsidRDefault="00CD731A" w:rsidP="00D17892">
      <w:pPr>
        <w:spacing w:after="0" w:line="240" w:lineRule="auto"/>
        <w:jc w:val="right"/>
        <w:rPr>
          <w:rFonts w:ascii="Times New Roman" w:hAnsi="Times New Roman" w:cs="Times New Roman"/>
          <w:b/>
          <w:sz w:val="24"/>
          <w:szCs w:val="24"/>
        </w:rPr>
      </w:pPr>
      <w:r>
        <w:rPr>
          <w:rFonts w:ascii="Times New Roman" w:hAnsi="Times New Roman" w:cs="Times New Roman"/>
          <w:b/>
          <w:sz w:val="24"/>
          <w:szCs w:val="24"/>
        </w:rPr>
        <w:t xml:space="preserve">                                </w:t>
      </w:r>
      <w:r w:rsidR="004D764D">
        <w:rPr>
          <w:rFonts w:ascii="Times New Roman" w:hAnsi="Times New Roman" w:cs="Times New Roman"/>
          <w:b/>
          <w:sz w:val="24"/>
          <w:szCs w:val="24"/>
        </w:rPr>
        <w:t xml:space="preserve">                           </w:t>
      </w:r>
      <w:r w:rsidR="004D764D" w:rsidRPr="004D764D">
        <w:rPr>
          <w:rFonts w:ascii="Times New Roman" w:hAnsi="Times New Roman" w:cs="Times New Roman"/>
          <w:b/>
          <w:sz w:val="24"/>
          <w:szCs w:val="24"/>
        </w:rPr>
        <w:t xml:space="preserve"> </w:t>
      </w:r>
      <w:r w:rsidR="004D764D" w:rsidRPr="00592812">
        <w:rPr>
          <w:rFonts w:ascii="Times New Roman" w:hAnsi="Times New Roman" w:cs="Times New Roman"/>
          <w:b/>
          <w:sz w:val="24"/>
          <w:szCs w:val="24"/>
        </w:rPr>
        <w:t xml:space="preserve">                  </w:t>
      </w:r>
      <w:r w:rsidR="004D764D" w:rsidRPr="004D764D">
        <w:rPr>
          <w:rFonts w:ascii="Times New Roman" w:hAnsi="Times New Roman" w:cs="Times New Roman"/>
          <w:b/>
          <w:sz w:val="24"/>
          <w:szCs w:val="24"/>
        </w:rPr>
        <w:t xml:space="preserve">   </w:t>
      </w:r>
      <w:r>
        <w:rPr>
          <w:rFonts w:ascii="Times New Roman" w:hAnsi="Times New Roman" w:cs="Times New Roman"/>
          <w:b/>
          <w:sz w:val="24"/>
          <w:szCs w:val="24"/>
        </w:rPr>
        <w:t xml:space="preserve"> Коротин С.Ю.</w:t>
      </w:r>
    </w:p>
    <w:p w:rsidR="004D764D" w:rsidRDefault="00D17892" w:rsidP="00D17892">
      <w:pPr>
        <w:spacing w:after="0" w:line="240" w:lineRule="auto"/>
        <w:jc w:val="right"/>
        <w:rPr>
          <w:rFonts w:ascii="Times New Roman" w:hAnsi="Times New Roman" w:cs="Times New Roman"/>
          <w:i/>
          <w:sz w:val="24"/>
          <w:szCs w:val="24"/>
        </w:rPr>
      </w:pPr>
      <w:r>
        <w:rPr>
          <w:rFonts w:ascii="Times New Roman" w:hAnsi="Times New Roman" w:cs="Times New Roman"/>
          <w:b/>
          <w:sz w:val="24"/>
          <w:szCs w:val="24"/>
        </w:rPr>
        <w:t xml:space="preserve">   </w:t>
      </w:r>
      <w:r w:rsidR="00CD731A">
        <w:rPr>
          <w:rFonts w:ascii="Times New Roman" w:hAnsi="Times New Roman" w:cs="Times New Roman"/>
          <w:b/>
          <w:sz w:val="24"/>
          <w:szCs w:val="24"/>
        </w:rPr>
        <w:t xml:space="preserve"> </w:t>
      </w:r>
      <w:r w:rsidR="00CD731A">
        <w:rPr>
          <w:rFonts w:ascii="Times New Roman" w:hAnsi="Times New Roman" w:cs="Times New Roman"/>
          <w:i/>
          <w:sz w:val="24"/>
          <w:szCs w:val="24"/>
        </w:rPr>
        <w:t xml:space="preserve">Российская Федерация, г. Самара, </w:t>
      </w:r>
      <w:r w:rsidR="00920672">
        <w:rPr>
          <w:rFonts w:ascii="Times New Roman" w:hAnsi="Times New Roman" w:cs="Times New Roman"/>
          <w:i/>
          <w:sz w:val="24"/>
          <w:szCs w:val="24"/>
        </w:rPr>
        <w:t>ФГБОУ ВПО СамГТУ</w:t>
      </w:r>
    </w:p>
    <w:p w:rsidR="00920672" w:rsidRPr="00592812" w:rsidRDefault="00920672" w:rsidP="00D17892">
      <w:pPr>
        <w:spacing w:after="0" w:line="240" w:lineRule="auto"/>
        <w:jc w:val="right"/>
        <w:rPr>
          <w:rFonts w:ascii="Times New Roman" w:hAnsi="Times New Roman" w:cs="Times New Roman"/>
          <w:i/>
          <w:sz w:val="24"/>
          <w:szCs w:val="24"/>
        </w:rPr>
      </w:pPr>
    </w:p>
    <w:p w:rsidR="00CD731A" w:rsidRDefault="00CD731A" w:rsidP="00D17892">
      <w:pPr>
        <w:spacing w:after="0" w:line="240" w:lineRule="auto"/>
        <w:ind w:firstLine="720"/>
        <w:jc w:val="both"/>
        <w:rPr>
          <w:rFonts w:ascii="Times New Roman" w:hAnsi="Times New Roman" w:cs="Times New Roman"/>
          <w:i/>
          <w:sz w:val="20"/>
          <w:szCs w:val="20"/>
        </w:rPr>
      </w:pPr>
      <w:r w:rsidRPr="00CD731A">
        <w:rPr>
          <w:rFonts w:ascii="Times New Roman" w:hAnsi="Times New Roman" w:cs="Times New Roman"/>
          <w:i/>
          <w:sz w:val="20"/>
          <w:szCs w:val="20"/>
        </w:rPr>
        <w:t xml:space="preserve">В работе приводятся сравнительные характеристики </w:t>
      </w:r>
      <w:r w:rsidR="00653760">
        <w:rPr>
          <w:rFonts w:ascii="Times New Roman" w:hAnsi="Times New Roman" w:cs="Times New Roman"/>
          <w:i/>
          <w:sz w:val="20"/>
          <w:szCs w:val="20"/>
        </w:rPr>
        <w:t xml:space="preserve">ряда современных </w:t>
      </w:r>
      <w:r w:rsidRPr="00CD731A">
        <w:rPr>
          <w:rFonts w:ascii="Times New Roman" w:hAnsi="Times New Roman" w:cs="Times New Roman"/>
          <w:i/>
          <w:sz w:val="20"/>
          <w:szCs w:val="20"/>
        </w:rPr>
        <w:t>энергетических у</w:t>
      </w:r>
      <w:r w:rsidR="002A066A">
        <w:rPr>
          <w:rFonts w:ascii="Times New Roman" w:hAnsi="Times New Roman" w:cs="Times New Roman"/>
          <w:i/>
          <w:sz w:val="20"/>
          <w:szCs w:val="20"/>
        </w:rPr>
        <w:t xml:space="preserve">становок малого класса </w:t>
      </w:r>
      <w:proofErr w:type="gramStart"/>
      <w:r w:rsidR="002A066A">
        <w:rPr>
          <w:rFonts w:ascii="Times New Roman" w:hAnsi="Times New Roman" w:cs="Times New Roman"/>
          <w:i/>
          <w:sz w:val="20"/>
          <w:szCs w:val="20"/>
        </w:rPr>
        <w:t>мощности</w:t>
      </w:r>
      <w:proofErr w:type="gramEnd"/>
      <w:r w:rsidR="002A066A">
        <w:rPr>
          <w:rFonts w:ascii="Times New Roman" w:hAnsi="Times New Roman" w:cs="Times New Roman"/>
          <w:i/>
          <w:sz w:val="20"/>
          <w:szCs w:val="20"/>
        </w:rPr>
        <w:t xml:space="preserve"> и</w:t>
      </w:r>
      <w:r w:rsidRPr="00CD731A">
        <w:rPr>
          <w:rFonts w:ascii="Times New Roman" w:hAnsi="Times New Roman" w:cs="Times New Roman"/>
          <w:i/>
          <w:sz w:val="20"/>
          <w:szCs w:val="20"/>
        </w:rPr>
        <w:t xml:space="preserve"> </w:t>
      </w:r>
      <w:r w:rsidR="002A066A">
        <w:rPr>
          <w:rFonts w:ascii="Times New Roman" w:hAnsi="Times New Roman" w:cs="Times New Roman"/>
          <w:i/>
          <w:sz w:val="20"/>
          <w:szCs w:val="20"/>
        </w:rPr>
        <w:t>определяется</w:t>
      </w:r>
      <w:r w:rsidR="00653760">
        <w:rPr>
          <w:rFonts w:ascii="Times New Roman" w:hAnsi="Times New Roman" w:cs="Times New Roman"/>
          <w:i/>
          <w:sz w:val="20"/>
          <w:szCs w:val="20"/>
        </w:rPr>
        <w:t xml:space="preserve"> характер их изменения в зависимости от нагрузки. </w:t>
      </w:r>
      <w:r w:rsidRPr="00CD731A">
        <w:rPr>
          <w:rFonts w:ascii="Times New Roman" w:hAnsi="Times New Roman" w:cs="Times New Roman"/>
          <w:i/>
          <w:sz w:val="20"/>
          <w:szCs w:val="20"/>
        </w:rPr>
        <w:t>Сопоставлены преимущества установок того или иного типа в зависимости от условий работы.</w:t>
      </w:r>
    </w:p>
    <w:p w:rsidR="002A066A" w:rsidRDefault="00920672" w:rsidP="00D17892">
      <w:pPr>
        <w:spacing w:after="0" w:line="240" w:lineRule="auto"/>
        <w:ind w:firstLine="720"/>
        <w:jc w:val="both"/>
        <w:rPr>
          <w:rFonts w:ascii="Times New Roman" w:hAnsi="Times New Roman" w:cs="Times New Roman"/>
          <w:i/>
          <w:sz w:val="20"/>
          <w:szCs w:val="20"/>
        </w:rPr>
      </w:pPr>
      <w:r w:rsidRPr="00920672">
        <w:rPr>
          <w:rFonts w:ascii="Times New Roman" w:hAnsi="Times New Roman" w:cs="Times New Roman"/>
          <w:i/>
          <w:sz w:val="20"/>
          <w:szCs w:val="20"/>
        </w:rPr>
        <w:t>Ключевые слова: энергетика, электростанции, газопоршневой двигатель, газо</w:t>
      </w:r>
      <w:r>
        <w:rPr>
          <w:rFonts w:ascii="Times New Roman" w:hAnsi="Times New Roman" w:cs="Times New Roman"/>
          <w:i/>
          <w:sz w:val="20"/>
          <w:szCs w:val="20"/>
        </w:rPr>
        <w:t>турбинный двигатель, когенерация.</w:t>
      </w:r>
    </w:p>
    <w:p w:rsidR="00920672" w:rsidRPr="00920672" w:rsidRDefault="00920672" w:rsidP="00D17892">
      <w:pPr>
        <w:spacing w:after="0" w:line="240" w:lineRule="auto"/>
        <w:ind w:firstLine="720"/>
        <w:jc w:val="both"/>
        <w:rPr>
          <w:rFonts w:ascii="Times New Roman" w:hAnsi="Times New Roman" w:cs="Times New Roman"/>
          <w:i/>
          <w:sz w:val="20"/>
          <w:szCs w:val="20"/>
        </w:rPr>
      </w:pPr>
    </w:p>
    <w:p w:rsidR="00CD731A" w:rsidRPr="00CD2269" w:rsidRDefault="002A066A" w:rsidP="00D17892">
      <w:pPr>
        <w:spacing w:after="0" w:line="240" w:lineRule="auto"/>
        <w:ind w:firstLine="720"/>
        <w:jc w:val="both"/>
        <w:rPr>
          <w:rFonts w:ascii="Times New Roman" w:hAnsi="Times New Roman" w:cs="Times New Roman"/>
          <w:i/>
          <w:color w:val="222222"/>
          <w:sz w:val="20"/>
          <w:szCs w:val="20"/>
          <w:shd w:val="clear" w:color="auto" w:fill="FDFDFD"/>
          <w:lang w:val="en-US"/>
        </w:rPr>
      </w:pPr>
      <w:r w:rsidRPr="00920672">
        <w:rPr>
          <w:rFonts w:ascii="Times New Roman" w:hAnsi="Times New Roman" w:cs="Times New Roman"/>
          <w:i/>
          <w:color w:val="222222"/>
          <w:sz w:val="20"/>
          <w:szCs w:val="20"/>
          <w:shd w:val="clear" w:color="auto" w:fill="FDFDFD"/>
        </w:rPr>
        <w:t xml:space="preserve"> </w:t>
      </w:r>
      <w:r w:rsidRPr="002A066A">
        <w:rPr>
          <w:rFonts w:ascii="Times New Roman" w:hAnsi="Times New Roman" w:cs="Times New Roman"/>
          <w:i/>
          <w:color w:val="222222"/>
          <w:sz w:val="20"/>
          <w:szCs w:val="20"/>
          <w:shd w:val="clear" w:color="auto" w:fill="FDFDFD"/>
          <w:lang w:val="en-US"/>
        </w:rPr>
        <w:t>The paper presents the comparative performance of a number of modern power plants small po</w:t>
      </w:r>
      <w:r>
        <w:rPr>
          <w:rFonts w:ascii="Times New Roman" w:hAnsi="Times New Roman" w:cs="Times New Roman"/>
          <w:i/>
          <w:color w:val="222222"/>
          <w:sz w:val="20"/>
          <w:szCs w:val="20"/>
          <w:shd w:val="clear" w:color="auto" w:fill="FDFDFD"/>
          <w:lang w:val="en-US"/>
        </w:rPr>
        <w:t xml:space="preserve">wer class </w:t>
      </w:r>
      <w:r w:rsidRPr="002A066A">
        <w:rPr>
          <w:rFonts w:ascii="Times New Roman" w:hAnsi="Times New Roman" w:cs="Times New Roman"/>
          <w:i/>
          <w:color w:val="222222"/>
          <w:sz w:val="20"/>
          <w:szCs w:val="20"/>
          <w:shd w:val="clear" w:color="auto" w:fill="FDFDFD"/>
          <w:lang w:val="en-US"/>
        </w:rPr>
        <w:t xml:space="preserve">and is determined </w:t>
      </w:r>
      <w:r>
        <w:rPr>
          <w:rFonts w:ascii="Times New Roman" w:hAnsi="Times New Roman" w:cs="Times New Roman"/>
          <w:i/>
          <w:color w:val="222222"/>
          <w:sz w:val="20"/>
          <w:szCs w:val="20"/>
          <w:shd w:val="clear" w:color="auto" w:fill="FDFDFD"/>
          <w:lang w:val="en-US"/>
        </w:rPr>
        <w:t xml:space="preserve">by </w:t>
      </w:r>
      <w:r w:rsidRPr="002A066A">
        <w:rPr>
          <w:rFonts w:ascii="Times New Roman" w:hAnsi="Times New Roman" w:cs="Times New Roman"/>
          <w:i/>
          <w:color w:val="222222"/>
          <w:sz w:val="20"/>
          <w:szCs w:val="20"/>
          <w:shd w:val="clear" w:color="auto" w:fill="FDFDFD"/>
          <w:lang w:val="en-US"/>
        </w:rPr>
        <w:t>the nature of their changes depending on the load.</w:t>
      </w:r>
      <w:r w:rsidR="00CD731A" w:rsidRPr="00CD731A">
        <w:rPr>
          <w:rFonts w:ascii="Times New Roman" w:hAnsi="Times New Roman" w:cs="Times New Roman"/>
          <w:i/>
          <w:color w:val="222222"/>
          <w:sz w:val="20"/>
          <w:szCs w:val="20"/>
          <w:shd w:val="clear" w:color="auto" w:fill="FDFDFD"/>
          <w:lang w:val="en-US"/>
        </w:rPr>
        <w:t xml:space="preserve"> </w:t>
      </w:r>
      <w:proofErr w:type="gramStart"/>
      <w:r w:rsidR="00CD731A" w:rsidRPr="00CD731A">
        <w:rPr>
          <w:rFonts w:ascii="Times New Roman" w:hAnsi="Times New Roman" w:cs="Times New Roman"/>
          <w:i/>
          <w:color w:val="222222"/>
          <w:sz w:val="20"/>
          <w:szCs w:val="20"/>
          <w:shd w:val="clear" w:color="auto" w:fill="FDFDFD"/>
          <w:lang w:val="en-US"/>
        </w:rPr>
        <w:t>Associated benefits plants of one type or another depending on the conditions.</w:t>
      </w:r>
      <w:proofErr w:type="gramEnd"/>
    </w:p>
    <w:p w:rsidR="00535FEB" w:rsidRPr="009E0E3D" w:rsidRDefault="00535FEB" w:rsidP="00D17892">
      <w:pPr>
        <w:spacing w:after="0" w:line="240" w:lineRule="auto"/>
        <w:ind w:firstLine="720"/>
        <w:jc w:val="both"/>
        <w:rPr>
          <w:rFonts w:ascii="Times New Roman" w:hAnsi="Times New Roman" w:cs="Times New Roman"/>
          <w:i/>
          <w:color w:val="222222"/>
          <w:sz w:val="20"/>
          <w:szCs w:val="20"/>
          <w:shd w:val="clear" w:color="auto" w:fill="FDFDFD"/>
          <w:lang w:val="en-US"/>
        </w:rPr>
      </w:pPr>
      <w:r>
        <w:rPr>
          <w:rFonts w:ascii="Times New Roman" w:hAnsi="Times New Roman" w:cs="Times New Roman"/>
          <w:i/>
          <w:color w:val="222222"/>
          <w:sz w:val="20"/>
          <w:szCs w:val="20"/>
          <w:shd w:val="clear" w:color="auto" w:fill="FDFDFD"/>
          <w:lang w:val="en-US"/>
        </w:rPr>
        <w:t>Keywords:</w:t>
      </w:r>
      <w:r w:rsidRPr="00535FEB">
        <w:rPr>
          <w:lang w:val="en-US"/>
        </w:rPr>
        <w:t xml:space="preserve"> </w:t>
      </w:r>
      <w:r w:rsidRPr="00535FEB">
        <w:rPr>
          <w:rFonts w:ascii="Times New Roman" w:hAnsi="Times New Roman" w:cs="Times New Roman"/>
          <w:i/>
          <w:color w:val="222222"/>
          <w:sz w:val="20"/>
          <w:szCs w:val="20"/>
          <w:shd w:val="clear" w:color="auto" w:fill="FDFDFD"/>
          <w:lang w:val="en-US"/>
        </w:rPr>
        <w:t>energy, power plants, gas reciprocating engine, gas turbine engine, cogeneration.</w:t>
      </w:r>
    </w:p>
    <w:p w:rsidR="00D17892" w:rsidRPr="009E0E3D" w:rsidRDefault="00D17892" w:rsidP="00D17892">
      <w:pPr>
        <w:spacing w:after="0" w:line="240" w:lineRule="auto"/>
        <w:ind w:firstLine="720"/>
        <w:jc w:val="both"/>
        <w:rPr>
          <w:rFonts w:ascii="Times New Roman" w:hAnsi="Times New Roman" w:cs="Times New Roman"/>
          <w:i/>
          <w:sz w:val="20"/>
          <w:szCs w:val="20"/>
          <w:lang w:val="en-US"/>
        </w:rPr>
      </w:pPr>
    </w:p>
    <w:p w:rsidR="00A66DA8" w:rsidRDefault="00A66DA8" w:rsidP="002223E3">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Энерго- и ресурсосбережение в промышленности и жилищно-коммунальном хозяйстве является одним из важнейших факторов успешного функционирования и развития российской экономики. Ввиду того, что энергоснабжение ряда объектов от централизованных источников не оправдано экономически или затруднено вследствие удалённости объекта от соответствующей инфраструктуры, актуальным вопросом является правильный выбор типа установки децентрализова</w:t>
      </w:r>
      <w:r w:rsidR="002D0F6B">
        <w:rPr>
          <w:rFonts w:ascii="Times New Roman" w:hAnsi="Times New Roman" w:cs="Times New Roman"/>
          <w:sz w:val="24"/>
          <w:szCs w:val="24"/>
        </w:rPr>
        <w:t>нного электро- и теплоснабжения</w:t>
      </w:r>
      <w:r>
        <w:rPr>
          <w:rFonts w:ascii="Times New Roman" w:hAnsi="Times New Roman" w:cs="Times New Roman"/>
          <w:sz w:val="24"/>
          <w:szCs w:val="24"/>
        </w:rPr>
        <w:t xml:space="preserve"> под конкретные условия эксплуатации. </w:t>
      </w:r>
    </w:p>
    <w:p w:rsidR="00E030DD" w:rsidRPr="00EC65A3" w:rsidRDefault="00A66DA8" w:rsidP="002223E3">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Широкая газификация обусловила распространение в последнее время газопоршневых и газотурбинных установок, в том числе в агрегате с котлами-утилизаторами. Как первые, так и вторые, имеют свои преимущества и недостатки, которые в свою очередь в большей или меньшей степени проявляются в различных сегментах мощности. Невозможно сделать однозначный выбор в пользу газопоршневого или газотурбинного агрегата в отрыве от условий конкретного объекта.</w:t>
      </w:r>
      <w:r w:rsidR="00CE2380">
        <w:rPr>
          <w:rFonts w:ascii="Times New Roman" w:hAnsi="Times New Roman" w:cs="Times New Roman"/>
          <w:sz w:val="24"/>
          <w:szCs w:val="24"/>
        </w:rPr>
        <w:t xml:space="preserve"> При полномасштабном технико-экономическом сопоставлении о</w:t>
      </w:r>
      <w:r w:rsidR="00B87575">
        <w:rPr>
          <w:rFonts w:ascii="Times New Roman" w:hAnsi="Times New Roman" w:cs="Times New Roman"/>
          <w:sz w:val="24"/>
          <w:szCs w:val="24"/>
        </w:rPr>
        <w:t>ткрытым вопросом является объективная оценка стоимости</w:t>
      </w:r>
      <w:r w:rsidR="00CE2380">
        <w:rPr>
          <w:rFonts w:ascii="Times New Roman" w:hAnsi="Times New Roman" w:cs="Times New Roman"/>
          <w:sz w:val="24"/>
          <w:szCs w:val="24"/>
        </w:rPr>
        <w:t xml:space="preserve"> сооружения станции,</w:t>
      </w:r>
      <w:r w:rsidR="00B87575">
        <w:rPr>
          <w:rFonts w:ascii="Times New Roman" w:hAnsi="Times New Roman" w:cs="Times New Roman"/>
          <w:sz w:val="24"/>
          <w:szCs w:val="24"/>
        </w:rPr>
        <w:t xml:space="preserve"> ремонта и технического обслуживания агрегата, так как она часто носит </w:t>
      </w:r>
      <w:proofErr w:type="gramStart"/>
      <w:r w:rsidR="00B87575">
        <w:rPr>
          <w:rFonts w:ascii="Times New Roman" w:hAnsi="Times New Roman" w:cs="Times New Roman"/>
          <w:sz w:val="24"/>
          <w:szCs w:val="24"/>
        </w:rPr>
        <w:t>договорной</w:t>
      </w:r>
      <w:proofErr w:type="gramEnd"/>
      <w:r w:rsidR="00B87575">
        <w:rPr>
          <w:rFonts w:ascii="Times New Roman" w:hAnsi="Times New Roman" w:cs="Times New Roman"/>
          <w:sz w:val="24"/>
          <w:szCs w:val="24"/>
        </w:rPr>
        <w:t xml:space="preserve"> характер.</w:t>
      </w:r>
      <w:r>
        <w:rPr>
          <w:rFonts w:ascii="Times New Roman" w:hAnsi="Times New Roman" w:cs="Times New Roman"/>
          <w:sz w:val="24"/>
          <w:szCs w:val="24"/>
        </w:rPr>
        <w:t xml:space="preserve"> По этой причине, в настоящей статье приводится сравнительный анализ </w:t>
      </w:r>
      <w:r w:rsidR="00CE2380">
        <w:rPr>
          <w:rFonts w:ascii="Times New Roman" w:hAnsi="Times New Roman" w:cs="Times New Roman"/>
          <w:sz w:val="24"/>
          <w:szCs w:val="24"/>
        </w:rPr>
        <w:t>ГТУ и ГПУ по показателям эффективности использования топлива в простом, комбинированном и</w:t>
      </w:r>
      <w:r w:rsidR="005939D2">
        <w:rPr>
          <w:rFonts w:ascii="Times New Roman" w:hAnsi="Times New Roman" w:cs="Times New Roman"/>
          <w:sz w:val="24"/>
          <w:szCs w:val="24"/>
        </w:rPr>
        <w:t xml:space="preserve"> когенерационном цикле, динамике</w:t>
      </w:r>
      <w:r w:rsidR="00CE2380">
        <w:rPr>
          <w:rFonts w:ascii="Times New Roman" w:hAnsi="Times New Roman" w:cs="Times New Roman"/>
          <w:sz w:val="24"/>
          <w:szCs w:val="24"/>
        </w:rPr>
        <w:t xml:space="preserve"> данных показателей в зависимости от величины нагрузки</w:t>
      </w:r>
      <w:r w:rsidR="005939D2">
        <w:rPr>
          <w:rFonts w:ascii="Times New Roman" w:hAnsi="Times New Roman" w:cs="Times New Roman"/>
          <w:sz w:val="24"/>
          <w:szCs w:val="24"/>
        </w:rPr>
        <w:t>, и тепловому балансу.</w:t>
      </w:r>
    </w:p>
    <w:p w:rsidR="00084A89" w:rsidRDefault="009B7ED0" w:rsidP="00920672">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w:t>
      </w:r>
      <w:r w:rsidR="00662455">
        <w:rPr>
          <w:rFonts w:ascii="Times New Roman" w:hAnsi="Times New Roman" w:cs="Times New Roman"/>
          <w:sz w:val="24"/>
          <w:szCs w:val="24"/>
        </w:rPr>
        <w:t xml:space="preserve">Рассмотрение установок </w:t>
      </w:r>
      <w:r w:rsidR="00312426">
        <w:rPr>
          <w:rFonts w:ascii="Times New Roman" w:hAnsi="Times New Roman" w:cs="Times New Roman"/>
          <w:sz w:val="24"/>
          <w:szCs w:val="24"/>
        </w:rPr>
        <w:t>в сегменте мощностей от 1 до 15МВт</w:t>
      </w:r>
      <w:r w:rsidR="00662455">
        <w:rPr>
          <w:rFonts w:ascii="Times New Roman" w:hAnsi="Times New Roman" w:cs="Times New Roman"/>
          <w:sz w:val="24"/>
          <w:szCs w:val="24"/>
        </w:rPr>
        <w:t xml:space="preserve"> велось на примере трёх представителей модельных рядов ГТУ и ГПУ соответственно,</w:t>
      </w:r>
      <w:r w:rsidR="009725D9" w:rsidRPr="009725D9">
        <w:rPr>
          <w:rFonts w:ascii="Times New Roman" w:hAnsi="Times New Roman" w:cs="Times New Roman"/>
          <w:sz w:val="24"/>
          <w:szCs w:val="24"/>
        </w:rPr>
        <w:t xml:space="preserve"> </w:t>
      </w:r>
      <w:r w:rsidR="009725D9">
        <w:rPr>
          <w:rFonts w:ascii="Times New Roman" w:hAnsi="Times New Roman" w:cs="Times New Roman"/>
          <w:sz w:val="24"/>
          <w:szCs w:val="24"/>
        </w:rPr>
        <w:t>в целом сопоставимых по технологическому уровню,</w:t>
      </w:r>
      <w:r w:rsidR="00662455">
        <w:rPr>
          <w:rFonts w:ascii="Times New Roman" w:hAnsi="Times New Roman" w:cs="Times New Roman"/>
          <w:sz w:val="24"/>
          <w:szCs w:val="24"/>
        </w:rPr>
        <w:t xml:space="preserve"> по данным заявленным производителями </w:t>
      </w:r>
      <w:r w:rsidR="00312426">
        <w:rPr>
          <w:rFonts w:ascii="Times New Roman" w:hAnsi="Times New Roman" w:cs="Times New Roman"/>
          <w:sz w:val="24"/>
          <w:szCs w:val="24"/>
        </w:rPr>
        <w:t xml:space="preserve">данных ГТУ </w:t>
      </w:r>
      <w:r w:rsidR="00EE7060" w:rsidRPr="00EE7060">
        <w:rPr>
          <w:rFonts w:ascii="Times New Roman" w:hAnsi="Times New Roman" w:cs="Times New Roman"/>
          <w:sz w:val="24"/>
          <w:szCs w:val="24"/>
        </w:rPr>
        <w:t>[1][2][3]</w:t>
      </w:r>
      <w:r w:rsidR="00312426">
        <w:rPr>
          <w:rFonts w:ascii="Times New Roman" w:hAnsi="Times New Roman" w:cs="Times New Roman"/>
          <w:sz w:val="24"/>
          <w:szCs w:val="24"/>
        </w:rPr>
        <w:t xml:space="preserve"> и ГПУ </w:t>
      </w:r>
      <w:r w:rsidR="00312426" w:rsidRPr="00312426">
        <w:rPr>
          <w:rFonts w:ascii="Times New Roman" w:hAnsi="Times New Roman" w:cs="Times New Roman"/>
          <w:sz w:val="24"/>
          <w:szCs w:val="24"/>
        </w:rPr>
        <w:t>[</w:t>
      </w:r>
      <w:r w:rsidR="00312426">
        <w:rPr>
          <w:rFonts w:ascii="Times New Roman" w:hAnsi="Times New Roman" w:cs="Times New Roman"/>
          <w:sz w:val="24"/>
          <w:szCs w:val="24"/>
        </w:rPr>
        <w:t>4</w:t>
      </w:r>
      <w:r w:rsidR="00312426" w:rsidRPr="00312426">
        <w:rPr>
          <w:rFonts w:ascii="Times New Roman" w:hAnsi="Times New Roman" w:cs="Times New Roman"/>
          <w:sz w:val="24"/>
          <w:szCs w:val="24"/>
        </w:rPr>
        <w:t>][</w:t>
      </w:r>
      <w:r w:rsidR="00312426">
        <w:rPr>
          <w:rFonts w:ascii="Times New Roman" w:hAnsi="Times New Roman" w:cs="Times New Roman"/>
          <w:sz w:val="24"/>
          <w:szCs w:val="24"/>
        </w:rPr>
        <w:t>5</w:t>
      </w:r>
      <w:r w:rsidR="00312426" w:rsidRPr="00312426">
        <w:rPr>
          <w:rFonts w:ascii="Times New Roman" w:hAnsi="Times New Roman" w:cs="Times New Roman"/>
          <w:sz w:val="24"/>
          <w:szCs w:val="24"/>
        </w:rPr>
        <w:t>][</w:t>
      </w:r>
      <w:r w:rsidR="00312426">
        <w:rPr>
          <w:rFonts w:ascii="Times New Roman" w:hAnsi="Times New Roman" w:cs="Times New Roman"/>
          <w:sz w:val="24"/>
          <w:szCs w:val="24"/>
        </w:rPr>
        <w:t>6</w:t>
      </w:r>
      <w:r w:rsidR="00312426" w:rsidRPr="00312426">
        <w:rPr>
          <w:rFonts w:ascii="Times New Roman" w:hAnsi="Times New Roman" w:cs="Times New Roman"/>
          <w:sz w:val="24"/>
          <w:szCs w:val="24"/>
        </w:rPr>
        <w:t>][</w:t>
      </w:r>
      <w:r w:rsidR="00312426">
        <w:rPr>
          <w:rFonts w:ascii="Times New Roman" w:hAnsi="Times New Roman" w:cs="Times New Roman"/>
          <w:sz w:val="24"/>
          <w:szCs w:val="24"/>
        </w:rPr>
        <w:t>7</w:t>
      </w:r>
      <w:r w:rsidR="00312426" w:rsidRPr="00312426">
        <w:rPr>
          <w:rFonts w:ascii="Times New Roman" w:hAnsi="Times New Roman" w:cs="Times New Roman"/>
          <w:sz w:val="24"/>
          <w:szCs w:val="24"/>
        </w:rPr>
        <w:t>]</w:t>
      </w:r>
      <w:r w:rsidR="00D17892" w:rsidRPr="00D17892">
        <w:rPr>
          <w:rFonts w:ascii="Times New Roman" w:hAnsi="Times New Roman" w:cs="Times New Roman"/>
          <w:sz w:val="24"/>
          <w:szCs w:val="24"/>
        </w:rPr>
        <w:t>[8]</w:t>
      </w:r>
      <w:r w:rsidR="00EE7060" w:rsidRPr="00EE7060">
        <w:rPr>
          <w:rFonts w:ascii="Times New Roman" w:hAnsi="Times New Roman" w:cs="Times New Roman"/>
          <w:sz w:val="24"/>
          <w:szCs w:val="24"/>
        </w:rPr>
        <w:t>.</w:t>
      </w:r>
      <w:r w:rsidR="00EE7060">
        <w:rPr>
          <w:rFonts w:ascii="Times New Roman" w:hAnsi="Times New Roman" w:cs="Times New Roman"/>
          <w:sz w:val="24"/>
          <w:szCs w:val="24"/>
        </w:rPr>
        <w:t xml:space="preserve"> Основные эксплуатационные показатели приведены в табл. 1, 2</w:t>
      </w:r>
      <w:r w:rsidR="00D17892">
        <w:rPr>
          <w:rFonts w:ascii="Times New Roman" w:hAnsi="Times New Roman" w:cs="Times New Roman"/>
          <w:sz w:val="24"/>
          <w:szCs w:val="24"/>
        </w:rPr>
        <w:t>.</w:t>
      </w:r>
    </w:p>
    <w:p w:rsidR="00312426" w:rsidRDefault="00312426" w:rsidP="00D17892">
      <w:pPr>
        <w:spacing w:after="0" w:line="240" w:lineRule="auto"/>
        <w:jc w:val="both"/>
        <w:rPr>
          <w:rFonts w:ascii="Times New Roman" w:hAnsi="Times New Roman" w:cs="Times New Roman"/>
          <w:sz w:val="24"/>
          <w:szCs w:val="24"/>
        </w:rPr>
      </w:pPr>
    </w:p>
    <w:p w:rsidR="00AB6310" w:rsidRPr="00877D6C" w:rsidRDefault="00AB6310" w:rsidP="00AB6310">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Таблица 1. Основные технические характеристики некоторых моделей ГТУ.</w:t>
      </w:r>
    </w:p>
    <w:tbl>
      <w:tblPr>
        <w:tblStyle w:val="aa"/>
        <w:tblW w:w="5000" w:type="pct"/>
        <w:tblLayout w:type="fixed"/>
        <w:tblLook w:val="04A0" w:firstRow="1" w:lastRow="0" w:firstColumn="1" w:lastColumn="0" w:noHBand="0" w:noVBand="1"/>
      </w:tblPr>
      <w:tblGrid>
        <w:gridCol w:w="1386"/>
        <w:gridCol w:w="1183"/>
        <w:gridCol w:w="1350"/>
        <w:gridCol w:w="1011"/>
        <w:gridCol w:w="849"/>
        <w:gridCol w:w="853"/>
        <w:gridCol w:w="3222"/>
      </w:tblGrid>
      <w:tr w:rsidR="00AB6310" w:rsidTr="00AB6310">
        <w:trPr>
          <w:trHeight w:val="690"/>
        </w:trPr>
        <w:tc>
          <w:tcPr>
            <w:tcW w:w="703" w:type="pct"/>
            <w:vMerge w:val="restart"/>
          </w:tcPr>
          <w:p w:rsidR="00AB6310" w:rsidRDefault="00AB6310" w:rsidP="00796F5F">
            <w:pPr>
              <w:jc w:val="both"/>
              <w:rPr>
                <w:rFonts w:ascii="Times New Roman" w:hAnsi="Times New Roman" w:cs="Times New Roman"/>
                <w:sz w:val="24"/>
                <w:szCs w:val="24"/>
              </w:rPr>
            </w:pPr>
            <w:proofErr w:type="gramStart"/>
            <w:r>
              <w:rPr>
                <w:rFonts w:ascii="Times New Roman" w:hAnsi="Times New Roman" w:cs="Times New Roman"/>
                <w:sz w:val="24"/>
                <w:szCs w:val="24"/>
              </w:rPr>
              <w:t>Обозначе-ние</w:t>
            </w:r>
            <w:proofErr w:type="gramEnd"/>
          </w:p>
          <w:p w:rsidR="00AB6310" w:rsidRDefault="00AB6310" w:rsidP="00796F5F">
            <w:pPr>
              <w:jc w:val="both"/>
              <w:rPr>
                <w:rFonts w:ascii="Times New Roman" w:hAnsi="Times New Roman" w:cs="Times New Roman"/>
                <w:sz w:val="24"/>
                <w:szCs w:val="24"/>
              </w:rPr>
            </w:pPr>
            <w:r>
              <w:rPr>
                <w:rFonts w:ascii="Times New Roman" w:hAnsi="Times New Roman" w:cs="Times New Roman"/>
                <w:sz w:val="24"/>
                <w:szCs w:val="24"/>
              </w:rPr>
              <w:t xml:space="preserve">модели </w:t>
            </w:r>
          </w:p>
        </w:tc>
        <w:tc>
          <w:tcPr>
            <w:tcW w:w="600" w:type="pct"/>
            <w:vMerge w:val="restart"/>
          </w:tcPr>
          <w:p w:rsidR="00AB6310" w:rsidRDefault="00AB6310" w:rsidP="00796F5F">
            <w:pPr>
              <w:jc w:val="both"/>
              <w:rPr>
                <w:rFonts w:ascii="Times New Roman" w:hAnsi="Times New Roman" w:cs="Times New Roman"/>
                <w:sz w:val="24"/>
                <w:szCs w:val="24"/>
              </w:rPr>
            </w:pPr>
            <w:proofErr w:type="gramStart"/>
            <w:r>
              <w:rPr>
                <w:rFonts w:ascii="Times New Roman" w:hAnsi="Times New Roman" w:cs="Times New Roman"/>
                <w:sz w:val="24"/>
                <w:szCs w:val="24"/>
              </w:rPr>
              <w:t>Произво-дитель</w:t>
            </w:r>
            <w:proofErr w:type="gramEnd"/>
          </w:p>
        </w:tc>
        <w:tc>
          <w:tcPr>
            <w:tcW w:w="685" w:type="pct"/>
            <w:vMerge w:val="restart"/>
          </w:tcPr>
          <w:p w:rsidR="00AB6310" w:rsidRDefault="00AB6310" w:rsidP="00796F5F">
            <w:pPr>
              <w:jc w:val="both"/>
              <w:rPr>
                <w:rFonts w:ascii="Times New Roman" w:hAnsi="Times New Roman" w:cs="Times New Roman"/>
                <w:sz w:val="24"/>
                <w:szCs w:val="24"/>
              </w:rPr>
            </w:pPr>
            <w:r w:rsidRPr="006A03A4">
              <w:rPr>
                <w:rFonts w:ascii="Times New Roman" w:hAnsi="Times New Roman" w:cs="Times New Roman"/>
                <w:sz w:val="24"/>
                <w:szCs w:val="24"/>
              </w:rPr>
              <w:t>Мощность</w:t>
            </w:r>
            <w:r>
              <w:rPr>
                <w:rFonts w:ascii="Times New Roman" w:hAnsi="Times New Roman" w:cs="Times New Roman"/>
                <w:sz w:val="24"/>
                <w:szCs w:val="24"/>
              </w:rPr>
              <w:t xml:space="preserve"> </w:t>
            </w:r>
            <w:proofErr w:type="gramStart"/>
            <w:r>
              <w:rPr>
                <w:rFonts w:ascii="Times New Roman" w:hAnsi="Times New Roman" w:cs="Times New Roman"/>
                <w:sz w:val="24"/>
                <w:szCs w:val="24"/>
              </w:rPr>
              <w:t>электри-ческая</w:t>
            </w:r>
            <w:proofErr w:type="gramEnd"/>
            <w:r>
              <w:rPr>
                <w:rFonts w:ascii="Times New Roman" w:hAnsi="Times New Roman" w:cs="Times New Roman"/>
                <w:sz w:val="24"/>
                <w:szCs w:val="24"/>
              </w:rPr>
              <w:t xml:space="preserve"> номиналь-ная  </w:t>
            </w:r>
            <w:r w:rsidRPr="00BF029A">
              <w:rPr>
                <w:rFonts w:ascii="Times New Roman" w:hAnsi="Times New Roman" w:cs="Times New Roman"/>
                <w:sz w:val="24"/>
                <w:szCs w:val="24"/>
                <w:lang w:val="en-US"/>
              </w:rPr>
              <w:t>N</w:t>
            </w:r>
            <w:r w:rsidRPr="00BF029A">
              <w:rPr>
                <w:rFonts w:ascii="Times New Roman" w:hAnsi="Times New Roman" w:cs="Times New Roman"/>
                <w:sz w:val="24"/>
                <w:szCs w:val="24"/>
              </w:rPr>
              <w:t>э</w:t>
            </w:r>
            <w:r w:rsidR="00BF029A">
              <w:rPr>
                <w:rFonts w:ascii="Times New Roman" w:hAnsi="Times New Roman" w:cs="Times New Roman"/>
                <w:sz w:val="24"/>
                <w:szCs w:val="24"/>
                <w:vertAlign w:val="superscript"/>
              </w:rPr>
              <w:t>ном</w:t>
            </w:r>
            <w:r w:rsidRPr="006A03A4">
              <w:rPr>
                <w:rFonts w:ascii="Times New Roman" w:hAnsi="Times New Roman" w:cs="Times New Roman"/>
                <w:sz w:val="24"/>
                <w:szCs w:val="24"/>
              </w:rPr>
              <w:t>, кВт</w:t>
            </w:r>
          </w:p>
        </w:tc>
        <w:tc>
          <w:tcPr>
            <w:tcW w:w="1377" w:type="pct"/>
            <w:gridSpan w:val="3"/>
          </w:tcPr>
          <w:p w:rsidR="00AB6310" w:rsidRDefault="00AB6310" w:rsidP="00796F5F">
            <w:pPr>
              <w:jc w:val="both"/>
              <w:rPr>
                <w:rFonts w:ascii="Times New Roman" w:hAnsi="Times New Roman" w:cs="Times New Roman"/>
                <w:sz w:val="24"/>
                <w:szCs w:val="24"/>
              </w:rPr>
            </w:pPr>
            <w:r>
              <w:rPr>
                <w:rFonts w:ascii="Times New Roman" w:hAnsi="Times New Roman" w:cs="Times New Roman"/>
                <w:sz w:val="24"/>
                <w:szCs w:val="24"/>
              </w:rPr>
              <w:t>Подвод теплоты</w:t>
            </w:r>
            <w:r w:rsidR="00084A89">
              <w:rPr>
                <w:rFonts w:ascii="Times New Roman" w:hAnsi="Times New Roman" w:cs="Times New Roman"/>
                <w:sz w:val="24"/>
                <w:szCs w:val="24"/>
              </w:rPr>
              <w:t>, кВт·ч</w:t>
            </w:r>
            <w:r>
              <w:rPr>
                <w:rFonts w:ascii="Times New Roman" w:hAnsi="Times New Roman" w:cs="Times New Roman"/>
                <w:sz w:val="24"/>
                <w:szCs w:val="24"/>
              </w:rPr>
              <w:t xml:space="preserve">  при нагрузке, % </w:t>
            </w:r>
            <w:proofErr w:type="gramStart"/>
            <w:r>
              <w:rPr>
                <w:rFonts w:ascii="Times New Roman" w:hAnsi="Times New Roman" w:cs="Times New Roman"/>
                <w:sz w:val="24"/>
                <w:szCs w:val="24"/>
              </w:rPr>
              <w:t>от</w:t>
            </w:r>
            <w:proofErr w:type="gramEnd"/>
            <w:r>
              <w:rPr>
                <w:rFonts w:ascii="Times New Roman" w:hAnsi="Times New Roman" w:cs="Times New Roman"/>
                <w:sz w:val="24"/>
                <w:szCs w:val="24"/>
              </w:rPr>
              <w:t xml:space="preserve"> номинальной</w:t>
            </w:r>
          </w:p>
        </w:tc>
        <w:tc>
          <w:tcPr>
            <w:tcW w:w="1636" w:type="pct"/>
            <w:vMerge w:val="restart"/>
          </w:tcPr>
          <w:p w:rsidR="00AB6310" w:rsidRPr="00AB6310" w:rsidRDefault="00AB6310" w:rsidP="00796F5F">
            <w:pPr>
              <w:jc w:val="both"/>
              <w:rPr>
                <w:rFonts w:ascii="Times New Roman" w:hAnsi="Times New Roman" w:cs="Times New Roman"/>
                <w:sz w:val="24"/>
                <w:szCs w:val="24"/>
              </w:rPr>
            </w:pPr>
            <w:r>
              <w:rPr>
                <w:rFonts w:ascii="Times New Roman" w:hAnsi="Times New Roman" w:cs="Times New Roman"/>
                <w:sz w:val="24"/>
                <w:szCs w:val="24"/>
              </w:rPr>
              <w:t>Теплоотвод в котел-утилизатор, кВт, при</w:t>
            </w:r>
            <w:r w:rsidR="00BF029A">
              <w:rPr>
                <w:rFonts w:ascii="Times New Roman" w:hAnsi="Times New Roman" w:cs="Times New Roman"/>
                <w:sz w:val="24"/>
                <w:szCs w:val="24"/>
              </w:rPr>
              <w:t xml:space="preserve"> нагрузке</w:t>
            </w:r>
            <w:r w:rsidR="00E13016">
              <w:rPr>
                <w:rFonts w:ascii="Times New Roman" w:hAnsi="Times New Roman" w:cs="Times New Roman"/>
                <w:sz w:val="24"/>
                <w:szCs w:val="24"/>
              </w:rPr>
              <w:t xml:space="preserve"> 100%</w:t>
            </w:r>
            <w:r w:rsidR="00BF029A">
              <w:rPr>
                <w:rFonts w:ascii="Times New Roman" w:hAnsi="Times New Roman" w:cs="Times New Roman"/>
                <w:sz w:val="24"/>
                <w:szCs w:val="24"/>
              </w:rPr>
              <w:t xml:space="preserve"> </w:t>
            </w:r>
            <w:r w:rsidR="00BF029A">
              <w:rPr>
                <w:rFonts w:ascii="Times New Roman" w:hAnsi="Times New Roman" w:cs="Times New Roman"/>
                <w:sz w:val="24"/>
                <w:szCs w:val="24"/>
                <w:lang w:val="en-US"/>
              </w:rPr>
              <w:t>N</w:t>
            </w:r>
            <w:r w:rsidR="00BF029A">
              <w:rPr>
                <w:rFonts w:ascii="Times New Roman" w:hAnsi="Times New Roman" w:cs="Times New Roman"/>
                <w:sz w:val="24"/>
                <w:szCs w:val="24"/>
                <w:vertAlign w:val="subscript"/>
              </w:rPr>
              <w:t>ном</w:t>
            </w:r>
            <w:r>
              <w:rPr>
                <w:rFonts w:ascii="Times New Roman" w:hAnsi="Times New Roman" w:cs="Times New Roman"/>
                <w:sz w:val="24"/>
                <w:szCs w:val="24"/>
              </w:rPr>
              <w:t xml:space="preserve"> </w:t>
            </w:r>
            <w:r w:rsidR="00E13016">
              <w:rPr>
                <w:rFonts w:ascii="Times New Roman" w:hAnsi="Times New Roman" w:cs="Times New Roman"/>
                <w:sz w:val="24"/>
                <w:szCs w:val="24"/>
              </w:rPr>
              <w:t xml:space="preserve">/ </w:t>
            </w:r>
            <w:r>
              <w:rPr>
                <w:rFonts w:ascii="Times New Roman" w:hAnsi="Times New Roman" w:cs="Times New Roman"/>
                <w:sz w:val="24"/>
                <w:szCs w:val="24"/>
              </w:rPr>
              <w:t>температуре уходящих газов на выходе из КУ, ˚</w:t>
            </w:r>
            <w:proofErr w:type="gramStart"/>
            <w:r>
              <w:rPr>
                <w:rFonts w:ascii="Times New Roman" w:hAnsi="Times New Roman" w:cs="Times New Roman"/>
                <w:sz w:val="24"/>
                <w:szCs w:val="24"/>
              </w:rPr>
              <w:t>С</w:t>
            </w:r>
            <w:proofErr w:type="gramEnd"/>
          </w:p>
        </w:tc>
      </w:tr>
      <w:tr w:rsidR="00AB6310" w:rsidTr="00AB6310">
        <w:trPr>
          <w:trHeight w:val="690"/>
        </w:trPr>
        <w:tc>
          <w:tcPr>
            <w:tcW w:w="703" w:type="pct"/>
            <w:vMerge/>
          </w:tcPr>
          <w:p w:rsidR="00AB6310" w:rsidRDefault="00AB6310" w:rsidP="00796F5F">
            <w:pPr>
              <w:jc w:val="both"/>
              <w:rPr>
                <w:rFonts w:ascii="Times New Roman" w:hAnsi="Times New Roman" w:cs="Times New Roman"/>
                <w:sz w:val="24"/>
                <w:szCs w:val="24"/>
              </w:rPr>
            </w:pPr>
          </w:p>
        </w:tc>
        <w:tc>
          <w:tcPr>
            <w:tcW w:w="600" w:type="pct"/>
            <w:vMerge/>
          </w:tcPr>
          <w:p w:rsidR="00AB6310" w:rsidRDefault="00AB6310" w:rsidP="00796F5F">
            <w:pPr>
              <w:jc w:val="both"/>
              <w:rPr>
                <w:rFonts w:ascii="Times New Roman" w:hAnsi="Times New Roman" w:cs="Times New Roman"/>
                <w:sz w:val="24"/>
                <w:szCs w:val="24"/>
              </w:rPr>
            </w:pPr>
          </w:p>
        </w:tc>
        <w:tc>
          <w:tcPr>
            <w:tcW w:w="685" w:type="pct"/>
            <w:vMerge/>
          </w:tcPr>
          <w:p w:rsidR="00AB6310" w:rsidRPr="006A03A4" w:rsidRDefault="00AB6310" w:rsidP="00796F5F">
            <w:pPr>
              <w:jc w:val="both"/>
              <w:rPr>
                <w:rFonts w:ascii="Times New Roman" w:hAnsi="Times New Roman" w:cs="Times New Roman"/>
                <w:sz w:val="24"/>
                <w:szCs w:val="24"/>
              </w:rPr>
            </w:pPr>
          </w:p>
        </w:tc>
        <w:tc>
          <w:tcPr>
            <w:tcW w:w="513" w:type="pct"/>
          </w:tcPr>
          <w:p w:rsidR="00AB6310" w:rsidRDefault="00AB6310" w:rsidP="00796F5F">
            <w:pPr>
              <w:jc w:val="both"/>
              <w:rPr>
                <w:rFonts w:ascii="Times New Roman" w:hAnsi="Times New Roman" w:cs="Times New Roman"/>
                <w:sz w:val="24"/>
                <w:szCs w:val="24"/>
              </w:rPr>
            </w:pPr>
            <w:r>
              <w:rPr>
                <w:rFonts w:ascii="Times New Roman" w:hAnsi="Times New Roman" w:cs="Times New Roman"/>
                <w:sz w:val="24"/>
                <w:szCs w:val="24"/>
              </w:rPr>
              <w:t>100%</w:t>
            </w:r>
          </w:p>
        </w:tc>
        <w:tc>
          <w:tcPr>
            <w:tcW w:w="431" w:type="pct"/>
          </w:tcPr>
          <w:p w:rsidR="00AB6310" w:rsidRDefault="00AB6310" w:rsidP="00796F5F">
            <w:pPr>
              <w:jc w:val="both"/>
              <w:rPr>
                <w:rFonts w:ascii="Times New Roman" w:hAnsi="Times New Roman" w:cs="Times New Roman"/>
                <w:sz w:val="24"/>
                <w:szCs w:val="24"/>
              </w:rPr>
            </w:pPr>
            <w:r>
              <w:rPr>
                <w:rFonts w:ascii="Times New Roman" w:hAnsi="Times New Roman" w:cs="Times New Roman"/>
                <w:sz w:val="24"/>
                <w:szCs w:val="24"/>
              </w:rPr>
              <w:t>75%</w:t>
            </w:r>
          </w:p>
        </w:tc>
        <w:tc>
          <w:tcPr>
            <w:tcW w:w="433" w:type="pct"/>
          </w:tcPr>
          <w:p w:rsidR="00AB6310" w:rsidRDefault="00AB6310" w:rsidP="00796F5F">
            <w:pPr>
              <w:jc w:val="both"/>
              <w:rPr>
                <w:rFonts w:ascii="Times New Roman" w:hAnsi="Times New Roman" w:cs="Times New Roman"/>
                <w:sz w:val="24"/>
                <w:szCs w:val="24"/>
              </w:rPr>
            </w:pPr>
            <w:r>
              <w:rPr>
                <w:rFonts w:ascii="Times New Roman" w:hAnsi="Times New Roman" w:cs="Times New Roman"/>
                <w:sz w:val="24"/>
                <w:szCs w:val="24"/>
              </w:rPr>
              <w:t>50%</w:t>
            </w:r>
          </w:p>
        </w:tc>
        <w:tc>
          <w:tcPr>
            <w:tcW w:w="1636" w:type="pct"/>
            <w:vMerge/>
          </w:tcPr>
          <w:p w:rsidR="00AB6310" w:rsidRDefault="00AB6310" w:rsidP="00796F5F">
            <w:pPr>
              <w:jc w:val="both"/>
              <w:rPr>
                <w:rFonts w:ascii="Times New Roman" w:hAnsi="Times New Roman" w:cs="Times New Roman"/>
                <w:sz w:val="24"/>
                <w:szCs w:val="24"/>
              </w:rPr>
            </w:pPr>
          </w:p>
        </w:tc>
      </w:tr>
      <w:tr w:rsidR="00AB6310" w:rsidTr="00AB6310">
        <w:tc>
          <w:tcPr>
            <w:tcW w:w="703" w:type="pct"/>
          </w:tcPr>
          <w:p w:rsidR="00AB6310" w:rsidRPr="00AB6310" w:rsidRDefault="00AB6310" w:rsidP="00796F5F">
            <w:pPr>
              <w:jc w:val="both"/>
              <w:rPr>
                <w:rFonts w:ascii="Times New Roman" w:hAnsi="Times New Roman" w:cs="Times New Roman"/>
                <w:sz w:val="24"/>
                <w:szCs w:val="24"/>
                <w:lang w:val="en-US"/>
              </w:rPr>
            </w:pPr>
            <w:r>
              <w:rPr>
                <w:rFonts w:ascii="Times New Roman" w:hAnsi="Times New Roman" w:cs="Times New Roman"/>
                <w:sz w:val="24"/>
                <w:szCs w:val="24"/>
                <w:lang w:val="en-US"/>
              </w:rPr>
              <w:t>SGT-100-1S</w:t>
            </w:r>
          </w:p>
        </w:tc>
        <w:tc>
          <w:tcPr>
            <w:tcW w:w="600" w:type="pct"/>
            <w:vMerge w:val="restart"/>
          </w:tcPr>
          <w:p w:rsidR="00AB6310" w:rsidRPr="00AB6310" w:rsidRDefault="00AB6310" w:rsidP="00AB6310">
            <w:pPr>
              <w:jc w:val="both"/>
              <w:rPr>
                <w:rFonts w:ascii="Times New Roman" w:hAnsi="Times New Roman" w:cs="Times New Roman"/>
                <w:sz w:val="24"/>
                <w:szCs w:val="24"/>
                <w:lang w:val="en-US"/>
              </w:rPr>
            </w:pPr>
            <w:r>
              <w:rPr>
                <w:rFonts w:ascii="Times New Roman" w:hAnsi="Times New Roman" w:cs="Times New Roman"/>
                <w:sz w:val="24"/>
                <w:szCs w:val="24"/>
                <w:lang w:val="en-US"/>
              </w:rPr>
              <w:t>Siemens</w:t>
            </w:r>
          </w:p>
          <w:p w:rsidR="00AB6310" w:rsidRDefault="00AB6310" w:rsidP="00796F5F">
            <w:pPr>
              <w:jc w:val="both"/>
              <w:rPr>
                <w:rFonts w:ascii="Times New Roman" w:hAnsi="Times New Roman" w:cs="Times New Roman"/>
                <w:sz w:val="24"/>
                <w:szCs w:val="24"/>
              </w:rPr>
            </w:pPr>
          </w:p>
        </w:tc>
        <w:tc>
          <w:tcPr>
            <w:tcW w:w="685" w:type="pct"/>
          </w:tcPr>
          <w:p w:rsidR="00AB6310" w:rsidRPr="00084A89" w:rsidRDefault="00084A89" w:rsidP="00796F5F">
            <w:pPr>
              <w:jc w:val="both"/>
              <w:rPr>
                <w:rFonts w:ascii="Times New Roman" w:hAnsi="Times New Roman" w:cs="Times New Roman"/>
                <w:sz w:val="24"/>
                <w:szCs w:val="24"/>
              </w:rPr>
            </w:pPr>
            <w:r>
              <w:rPr>
                <w:rFonts w:ascii="Times New Roman" w:hAnsi="Times New Roman" w:cs="Times New Roman"/>
                <w:sz w:val="24"/>
                <w:szCs w:val="24"/>
              </w:rPr>
              <w:t>5250</w:t>
            </w:r>
          </w:p>
        </w:tc>
        <w:tc>
          <w:tcPr>
            <w:tcW w:w="513" w:type="pct"/>
          </w:tcPr>
          <w:p w:rsidR="00AB6310" w:rsidRPr="00084A89" w:rsidRDefault="00084A89" w:rsidP="00796F5F">
            <w:pPr>
              <w:jc w:val="both"/>
              <w:rPr>
                <w:rFonts w:ascii="Times New Roman" w:hAnsi="Times New Roman" w:cs="Times New Roman"/>
                <w:sz w:val="24"/>
                <w:szCs w:val="24"/>
              </w:rPr>
            </w:pPr>
            <w:r>
              <w:rPr>
                <w:rFonts w:ascii="Times New Roman" w:hAnsi="Times New Roman" w:cs="Times New Roman"/>
                <w:sz w:val="24"/>
                <w:szCs w:val="24"/>
              </w:rPr>
              <w:t>17300</w:t>
            </w:r>
          </w:p>
        </w:tc>
        <w:tc>
          <w:tcPr>
            <w:tcW w:w="431" w:type="pct"/>
          </w:tcPr>
          <w:p w:rsidR="00AB6310" w:rsidRPr="00084A89" w:rsidRDefault="00084A89" w:rsidP="00796F5F">
            <w:pPr>
              <w:jc w:val="both"/>
              <w:rPr>
                <w:rFonts w:ascii="Times New Roman" w:hAnsi="Times New Roman" w:cs="Times New Roman"/>
                <w:sz w:val="24"/>
                <w:szCs w:val="24"/>
              </w:rPr>
            </w:pPr>
            <w:r>
              <w:rPr>
                <w:rFonts w:ascii="Times New Roman" w:hAnsi="Times New Roman" w:cs="Times New Roman"/>
                <w:sz w:val="24"/>
                <w:szCs w:val="24"/>
              </w:rPr>
              <w:t>13750</w:t>
            </w:r>
          </w:p>
        </w:tc>
        <w:tc>
          <w:tcPr>
            <w:tcW w:w="433" w:type="pct"/>
          </w:tcPr>
          <w:p w:rsidR="00AB6310" w:rsidRPr="00084A89" w:rsidRDefault="00084A89" w:rsidP="00796F5F">
            <w:pPr>
              <w:jc w:val="both"/>
              <w:rPr>
                <w:rFonts w:ascii="Times New Roman" w:hAnsi="Times New Roman" w:cs="Times New Roman"/>
                <w:sz w:val="24"/>
                <w:szCs w:val="24"/>
              </w:rPr>
            </w:pPr>
            <w:r>
              <w:rPr>
                <w:rFonts w:ascii="Times New Roman" w:hAnsi="Times New Roman" w:cs="Times New Roman"/>
                <w:sz w:val="24"/>
                <w:szCs w:val="24"/>
              </w:rPr>
              <w:t>10400</w:t>
            </w:r>
          </w:p>
        </w:tc>
        <w:tc>
          <w:tcPr>
            <w:tcW w:w="1636" w:type="pct"/>
          </w:tcPr>
          <w:p w:rsidR="00AB6310" w:rsidRPr="00084A89" w:rsidRDefault="00084A89" w:rsidP="00796F5F">
            <w:pPr>
              <w:jc w:val="both"/>
              <w:rPr>
                <w:rFonts w:ascii="Times New Roman" w:hAnsi="Times New Roman" w:cs="Times New Roman"/>
                <w:sz w:val="24"/>
                <w:szCs w:val="24"/>
              </w:rPr>
            </w:pPr>
            <w:r>
              <w:rPr>
                <w:rFonts w:ascii="Times New Roman" w:hAnsi="Times New Roman" w:cs="Times New Roman"/>
                <w:sz w:val="24"/>
                <w:szCs w:val="24"/>
              </w:rPr>
              <w:t>8400 / 140</w:t>
            </w:r>
          </w:p>
        </w:tc>
      </w:tr>
      <w:tr w:rsidR="00AB6310" w:rsidTr="00AB6310">
        <w:tc>
          <w:tcPr>
            <w:tcW w:w="703" w:type="pct"/>
          </w:tcPr>
          <w:p w:rsidR="00AB6310" w:rsidRPr="0071724C" w:rsidRDefault="00AB6310" w:rsidP="00796F5F">
            <w:pPr>
              <w:jc w:val="both"/>
              <w:rPr>
                <w:rFonts w:ascii="Times New Roman" w:hAnsi="Times New Roman" w:cs="Times New Roman"/>
                <w:sz w:val="24"/>
                <w:szCs w:val="24"/>
                <w:lang w:val="en-US"/>
              </w:rPr>
            </w:pPr>
            <w:r>
              <w:rPr>
                <w:rFonts w:ascii="Times New Roman" w:hAnsi="Times New Roman" w:cs="Times New Roman"/>
                <w:sz w:val="24"/>
                <w:szCs w:val="24"/>
                <w:lang w:val="en-US"/>
              </w:rPr>
              <w:t>SGT-300</w:t>
            </w:r>
          </w:p>
        </w:tc>
        <w:tc>
          <w:tcPr>
            <w:tcW w:w="600" w:type="pct"/>
            <w:vMerge/>
          </w:tcPr>
          <w:p w:rsidR="00AB6310" w:rsidRPr="0071724C" w:rsidRDefault="00AB6310" w:rsidP="00796F5F">
            <w:pPr>
              <w:jc w:val="both"/>
              <w:rPr>
                <w:rFonts w:ascii="Times New Roman" w:hAnsi="Times New Roman" w:cs="Times New Roman"/>
                <w:sz w:val="24"/>
                <w:szCs w:val="24"/>
                <w:lang w:val="en-US"/>
              </w:rPr>
            </w:pPr>
          </w:p>
        </w:tc>
        <w:tc>
          <w:tcPr>
            <w:tcW w:w="685" w:type="pct"/>
          </w:tcPr>
          <w:p w:rsidR="00AB6310" w:rsidRPr="00084A89" w:rsidRDefault="00084A89" w:rsidP="00796F5F">
            <w:pPr>
              <w:jc w:val="both"/>
              <w:rPr>
                <w:rFonts w:ascii="Times New Roman" w:hAnsi="Times New Roman" w:cs="Times New Roman"/>
                <w:sz w:val="24"/>
                <w:szCs w:val="24"/>
              </w:rPr>
            </w:pPr>
            <w:r>
              <w:rPr>
                <w:rFonts w:ascii="Times New Roman" w:hAnsi="Times New Roman" w:cs="Times New Roman"/>
                <w:sz w:val="24"/>
                <w:szCs w:val="24"/>
              </w:rPr>
              <w:t>7900</w:t>
            </w:r>
          </w:p>
        </w:tc>
        <w:tc>
          <w:tcPr>
            <w:tcW w:w="513" w:type="pct"/>
          </w:tcPr>
          <w:p w:rsidR="00AB6310" w:rsidRPr="00084A89" w:rsidRDefault="00084A89" w:rsidP="00796F5F">
            <w:pPr>
              <w:jc w:val="both"/>
              <w:rPr>
                <w:rFonts w:ascii="Times New Roman" w:hAnsi="Times New Roman" w:cs="Times New Roman"/>
                <w:sz w:val="24"/>
                <w:szCs w:val="24"/>
              </w:rPr>
            </w:pPr>
            <w:r>
              <w:rPr>
                <w:rFonts w:ascii="Times New Roman" w:hAnsi="Times New Roman" w:cs="Times New Roman"/>
                <w:sz w:val="24"/>
                <w:szCs w:val="24"/>
              </w:rPr>
              <w:t>25400</w:t>
            </w:r>
          </w:p>
        </w:tc>
        <w:tc>
          <w:tcPr>
            <w:tcW w:w="431" w:type="pct"/>
          </w:tcPr>
          <w:p w:rsidR="00AB6310" w:rsidRPr="00084A89" w:rsidRDefault="00084A89" w:rsidP="00796F5F">
            <w:pPr>
              <w:jc w:val="both"/>
              <w:rPr>
                <w:rFonts w:ascii="Times New Roman" w:hAnsi="Times New Roman" w:cs="Times New Roman"/>
                <w:sz w:val="24"/>
                <w:szCs w:val="24"/>
              </w:rPr>
            </w:pPr>
            <w:r>
              <w:rPr>
                <w:rFonts w:ascii="Times New Roman" w:hAnsi="Times New Roman" w:cs="Times New Roman"/>
                <w:sz w:val="24"/>
                <w:szCs w:val="24"/>
              </w:rPr>
              <w:t>20500</w:t>
            </w:r>
          </w:p>
        </w:tc>
        <w:tc>
          <w:tcPr>
            <w:tcW w:w="433" w:type="pct"/>
          </w:tcPr>
          <w:p w:rsidR="00AB6310" w:rsidRPr="00084A89" w:rsidRDefault="00084A89" w:rsidP="00796F5F">
            <w:pPr>
              <w:jc w:val="both"/>
              <w:rPr>
                <w:rFonts w:ascii="Times New Roman" w:hAnsi="Times New Roman" w:cs="Times New Roman"/>
                <w:sz w:val="24"/>
                <w:szCs w:val="24"/>
              </w:rPr>
            </w:pPr>
            <w:r>
              <w:rPr>
                <w:rFonts w:ascii="Times New Roman" w:hAnsi="Times New Roman" w:cs="Times New Roman"/>
                <w:sz w:val="24"/>
                <w:szCs w:val="24"/>
              </w:rPr>
              <w:t>15800</w:t>
            </w:r>
          </w:p>
        </w:tc>
        <w:tc>
          <w:tcPr>
            <w:tcW w:w="1636" w:type="pct"/>
          </w:tcPr>
          <w:p w:rsidR="00AB6310" w:rsidRPr="00084A89" w:rsidRDefault="00084A89" w:rsidP="00796F5F">
            <w:pPr>
              <w:jc w:val="both"/>
              <w:rPr>
                <w:rFonts w:ascii="Times New Roman" w:hAnsi="Times New Roman" w:cs="Times New Roman"/>
                <w:sz w:val="24"/>
                <w:szCs w:val="24"/>
              </w:rPr>
            </w:pPr>
            <w:r>
              <w:rPr>
                <w:rFonts w:ascii="Times New Roman" w:hAnsi="Times New Roman" w:cs="Times New Roman"/>
                <w:sz w:val="24"/>
                <w:szCs w:val="24"/>
              </w:rPr>
              <w:t>13000 / 120</w:t>
            </w:r>
          </w:p>
        </w:tc>
      </w:tr>
      <w:tr w:rsidR="00AB6310" w:rsidTr="00AB6310">
        <w:tc>
          <w:tcPr>
            <w:tcW w:w="703" w:type="pct"/>
          </w:tcPr>
          <w:p w:rsidR="00AB6310" w:rsidRPr="00AB6310" w:rsidRDefault="00AB6310" w:rsidP="00796F5F">
            <w:pPr>
              <w:jc w:val="both"/>
              <w:rPr>
                <w:rFonts w:ascii="Times New Roman" w:hAnsi="Times New Roman" w:cs="Times New Roman"/>
                <w:sz w:val="24"/>
                <w:szCs w:val="24"/>
                <w:lang w:val="en-US"/>
              </w:rPr>
            </w:pPr>
            <w:r>
              <w:rPr>
                <w:rFonts w:ascii="Times New Roman" w:hAnsi="Times New Roman" w:cs="Times New Roman"/>
                <w:sz w:val="24"/>
                <w:szCs w:val="24"/>
                <w:lang w:val="en-US"/>
              </w:rPr>
              <w:t>SGT-400</w:t>
            </w:r>
          </w:p>
        </w:tc>
        <w:tc>
          <w:tcPr>
            <w:tcW w:w="600" w:type="pct"/>
            <w:vMerge/>
          </w:tcPr>
          <w:p w:rsidR="00AB6310" w:rsidRDefault="00AB6310" w:rsidP="00796F5F">
            <w:pPr>
              <w:jc w:val="both"/>
              <w:rPr>
                <w:rFonts w:ascii="Times New Roman" w:hAnsi="Times New Roman" w:cs="Times New Roman"/>
                <w:sz w:val="24"/>
                <w:szCs w:val="24"/>
              </w:rPr>
            </w:pPr>
          </w:p>
        </w:tc>
        <w:tc>
          <w:tcPr>
            <w:tcW w:w="685" w:type="pct"/>
          </w:tcPr>
          <w:p w:rsidR="00AB6310" w:rsidRPr="00084A89" w:rsidRDefault="00084A89" w:rsidP="00796F5F">
            <w:pPr>
              <w:jc w:val="both"/>
              <w:rPr>
                <w:rFonts w:ascii="Times New Roman" w:hAnsi="Times New Roman" w:cs="Times New Roman"/>
                <w:sz w:val="24"/>
                <w:szCs w:val="24"/>
              </w:rPr>
            </w:pPr>
            <w:r>
              <w:rPr>
                <w:rFonts w:ascii="Times New Roman" w:hAnsi="Times New Roman" w:cs="Times New Roman"/>
                <w:sz w:val="24"/>
                <w:szCs w:val="24"/>
              </w:rPr>
              <w:t>12900</w:t>
            </w:r>
          </w:p>
        </w:tc>
        <w:tc>
          <w:tcPr>
            <w:tcW w:w="513" w:type="pct"/>
          </w:tcPr>
          <w:p w:rsidR="00AB6310" w:rsidRPr="00084A89" w:rsidRDefault="00084A89" w:rsidP="00796F5F">
            <w:pPr>
              <w:jc w:val="both"/>
              <w:rPr>
                <w:rFonts w:ascii="Times New Roman" w:hAnsi="Times New Roman" w:cs="Times New Roman"/>
                <w:sz w:val="24"/>
                <w:szCs w:val="24"/>
              </w:rPr>
            </w:pPr>
            <w:r>
              <w:rPr>
                <w:rFonts w:ascii="Times New Roman" w:hAnsi="Times New Roman" w:cs="Times New Roman"/>
                <w:sz w:val="24"/>
                <w:szCs w:val="24"/>
              </w:rPr>
              <w:t>37000</w:t>
            </w:r>
          </w:p>
        </w:tc>
        <w:tc>
          <w:tcPr>
            <w:tcW w:w="431" w:type="pct"/>
          </w:tcPr>
          <w:p w:rsidR="00AB6310" w:rsidRPr="00084A89" w:rsidRDefault="00084A89" w:rsidP="00796F5F">
            <w:pPr>
              <w:jc w:val="both"/>
              <w:rPr>
                <w:rFonts w:ascii="Times New Roman" w:hAnsi="Times New Roman" w:cs="Times New Roman"/>
                <w:sz w:val="24"/>
                <w:szCs w:val="24"/>
              </w:rPr>
            </w:pPr>
            <w:r>
              <w:rPr>
                <w:rFonts w:ascii="Times New Roman" w:hAnsi="Times New Roman" w:cs="Times New Roman"/>
                <w:sz w:val="24"/>
                <w:szCs w:val="24"/>
              </w:rPr>
              <w:t>30100</w:t>
            </w:r>
          </w:p>
        </w:tc>
        <w:tc>
          <w:tcPr>
            <w:tcW w:w="433" w:type="pct"/>
          </w:tcPr>
          <w:p w:rsidR="00AB6310" w:rsidRPr="00084A89" w:rsidRDefault="00084A89" w:rsidP="00796F5F">
            <w:pPr>
              <w:jc w:val="both"/>
              <w:rPr>
                <w:rFonts w:ascii="Times New Roman" w:hAnsi="Times New Roman" w:cs="Times New Roman"/>
                <w:sz w:val="24"/>
                <w:szCs w:val="24"/>
              </w:rPr>
            </w:pPr>
            <w:r>
              <w:rPr>
                <w:rFonts w:ascii="Times New Roman" w:hAnsi="Times New Roman" w:cs="Times New Roman"/>
                <w:sz w:val="24"/>
                <w:szCs w:val="24"/>
              </w:rPr>
              <w:t>22800</w:t>
            </w:r>
          </w:p>
        </w:tc>
        <w:tc>
          <w:tcPr>
            <w:tcW w:w="1636" w:type="pct"/>
          </w:tcPr>
          <w:p w:rsidR="00AB6310" w:rsidRPr="0071724C" w:rsidRDefault="00084A89" w:rsidP="00796F5F">
            <w:pPr>
              <w:jc w:val="both"/>
              <w:rPr>
                <w:rFonts w:ascii="Times New Roman" w:hAnsi="Times New Roman" w:cs="Times New Roman"/>
                <w:sz w:val="24"/>
                <w:szCs w:val="24"/>
              </w:rPr>
            </w:pPr>
            <w:r>
              <w:rPr>
                <w:rFonts w:ascii="Times New Roman" w:hAnsi="Times New Roman" w:cs="Times New Roman"/>
                <w:sz w:val="24"/>
                <w:szCs w:val="24"/>
              </w:rPr>
              <w:t>17700 /120</w:t>
            </w:r>
          </w:p>
        </w:tc>
      </w:tr>
    </w:tbl>
    <w:p w:rsidR="00084A89" w:rsidRPr="00084A89" w:rsidRDefault="00084A89" w:rsidP="00084A89">
      <w:pPr>
        <w:spacing w:after="0" w:line="240" w:lineRule="auto"/>
        <w:jc w:val="both"/>
        <w:rPr>
          <w:rFonts w:ascii="Times New Roman" w:hAnsi="Times New Roman" w:cs="Times New Roman"/>
          <w:sz w:val="24"/>
          <w:szCs w:val="24"/>
        </w:rPr>
      </w:pPr>
    </w:p>
    <w:p w:rsidR="00877D6C" w:rsidRPr="00877D6C" w:rsidRDefault="00AB6310" w:rsidP="002223E3">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Таблица 2</w:t>
      </w:r>
      <w:r w:rsidR="00877D6C">
        <w:rPr>
          <w:rFonts w:ascii="Times New Roman" w:hAnsi="Times New Roman" w:cs="Times New Roman"/>
          <w:sz w:val="24"/>
          <w:szCs w:val="24"/>
        </w:rPr>
        <w:t xml:space="preserve">. Основные технические характеристики </w:t>
      </w:r>
      <w:r>
        <w:rPr>
          <w:rFonts w:ascii="Times New Roman" w:hAnsi="Times New Roman" w:cs="Times New Roman"/>
          <w:sz w:val="24"/>
          <w:szCs w:val="24"/>
        </w:rPr>
        <w:t>некоторых моделей ГПУ</w:t>
      </w:r>
      <w:r w:rsidR="00C375E7">
        <w:rPr>
          <w:rFonts w:ascii="Times New Roman" w:hAnsi="Times New Roman" w:cs="Times New Roman"/>
          <w:sz w:val="24"/>
          <w:szCs w:val="24"/>
        </w:rPr>
        <w:t>.</w:t>
      </w:r>
    </w:p>
    <w:tbl>
      <w:tblPr>
        <w:tblStyle w:val="aa"/>
        <w:tblW w:w="5000" w:type="pct"/>
        <w:tblLayout w:type="fixed"/>
        <w:tblLook w:val="04A0" w:firstRow="1" w:lastRow="0" w:firstColumn="1" w:lastColumn="0" w:noHBand="0" w:noVBand="1"/>
      </w:tblPr>
      <w:tblGrid>
        <w:gridCol w:w="1111"/>
        <w:gridCol w:w="9"/>
        <w:gridCol w:w="981"/>
        <w:gridCol w:w="1413"/>
        <w:gridCol w:w="733"/>
        <w:gridCol w:w="853"/>
        <w:gridCol w:w="853"/>
        <w:gridCol w:w="709"/>
        <w:gridCol w:w="711"/>
        <w:gridCol w:w="676"/>
        <w:gridCol w:w="1805"/>
      </w:tblGrid>
      <w:tr w:rsidR="00D17892" w:rsidTr="00D17892">
        <w:trPr>
          <w:trHeight w:val="690"/>
        </w:trPr>
        <w:tc>
          <w:tcPr>
            <w:tcW w:w="563" w:type="pct"/>
            <w:vMerge w:val="restart"/>
          </w:tcPr>
          <w:p w:rsidR="005F1210" w:rsidRDefault="005F1210" w:rsidP="002223E3">
            <w:pPr>
              <w:jc w:val="both"/>
              <w:rPr>
                <w:rFonts w:ascii="Times New Roman" w:hAnsi="Times New Roman" w:cs="Times New Roman"/>
                <w:sz w:val="24"/>
                <w:szCs w:val="24"/>
              </w:rPr>
            </w:pPr>
            <w:proofErr w:type="gramStart"/>
            <w:r>
              <w:rPr>
                <w:rFonts w:ascii="Times New Roman" w:hAnsi="Times New Roman" w:cs="Times New Roman"/>
                <w:sz w:val="24"/>
                <w:szCs w:val="24"/>
              </w:rPr>
              <w:t>Обозна</w:t>
            </w:r>
            <w:r w:rsidR="00A65992">
              <w:rPr>
                <w:rFonts w:ascii="Times New Roman" w:hAnsi="Times New Roman" w:cs="Times New Roman"/>
                <w:sz w:val="24"/>
                <w:szCs w:val="24"/>
              </w:rPr>
              <w:t>-</w:t>
            </w:r>
            <w:r>
              <w:rPr>
                <w:rFonts w:ascii="Times New Roman" w:hAnsi="Times New Roman" w:cs="Times New Roman"/>
                <w:sz w:val="24"/>
                <w:szCs w:val="24"/>
              </w:rPr>
              <w:t>чение</w:t>
            </w:r>
            <w:proofErr w:type="gramEnd"/>
          </w:p>
          <w:p w:rsidR="005F1210" w:rsidRDefault="005F1210" w:rsidP="002223E3">
            <w:pPr>
              <w:jc w:val="both"/>
              <w:rPr>
                <w:rFonts w:ascii="Times New Roman" w:hAnsi="Times New Roman" w:cs="Times New Roman"/>
                <w:sz w:val="24"/>
                <w:szCs w:val="24"/>
              </w:rPr>
            </w:pPr>
            <w:r>
              <w:rPr>
                <w:rFonts w:ascii="Times New Roman" w:hAnsi="Times New Roman" w:cs="Times New Roman"/>
                <w:sz w:val="24"/>
                <w:szCs w:val="24"/>
              </w:rPr>
              <w:t xml:space="preserve">модели </w:t>
            </w:r>
          </w:p>
        </w:tc>
        <w:tc>
          <w:tcPr>
            <w:tcW w:w="502" w:type="pct"/>
            <w:gridSpan w:val="2"/>
            <w:vMerge w:val="restart"/>
          </w:tcPr>
          <w:p w:rsidR="005F1210" w:rsidRDefault="005F1210" w:rsidP="002223E3">
            <w:pPr>
              <w:jc w:val="both"/>
              <w:rPr>
                <w:rFonts w:ascii="Times New Roman" w:hAnsi="Times New Roman" w:cs="Times New Roman"/>
                <w:sz w:val="24"/>
                <w:szCs w:val="24"/>
              </w:rPr>
            </w:pPr>
            <w:r>
              <w:rPr>
                <w:rFonts w:ascii="Times New Roman" w:hAnsi="Times New Roman" w:cs="Times New Roman"/>
                <w:sz w:val="24"/>
                <w:szCs w:val="24"/>
              </w:rPr>
              <w:t>Произ</w:t>
            </w:r>
            <w:r w:rsidR="00D17892">
              <w:rPr>
                <w:rFonts w:ascii="Times New Roman" w:hAnsi="Times New Roman" w:cs="Times New Roman"/>
                <w:sz w:val="24"/>
                <w:szCs w:val="24"/>
                <w:lang w:val="en-US"/>
              </w:rPr>
              <w:t>-</w:t>
            </w:r>
            <w:r>
              <w:rPr>
                <w:rFonts w:ascii="Times New Roman" w:hAnsi="Times New Roman" w:cs="Times New Roman"/>
                <w:sz w:val="24"/>
                <w:szCs w:val="24"/>
              </w:rPr>
              <w:t>во-дитель</w:t>
            </w:r>
          </w:p>
        </w:tc>
        <w:tc>
          <w:tcPr>
            <w:tcW w:w="717" w:type="pct"/>
            <w:vMerge w:val="restart"/>
          </w:tcPr>
          <w:p w:rsidR="005F1210" w:rsidRDefault="005F1210" w:rsidP="002223E3">
            <w:pPr>
              <w:jc w:val="both"/>
              <w:rPr>
                <w:rFonts w:ascii="Times New Roman" w:hAnsi="Times New Roman" w:cs="Times New Roman"/>
                <w:sz w:val="24"/>
                <w:szCs w:val="24"/>
              </w:rPr>
            </w:pPr>
            <w:r w:rsidRPr="006A03A4">
              <w:rPr>
                <w:rFonts w:ascii="Times New Roman" w:hAnsi="Times New Roman" w:cs="Times New Roman"/>
                <w:sz w:val="24"/>
                <w:szCs w:val="24"/>
              </w:rPr>
              <w:t>Мощность</w:t>
            </w:r>
            <w:r>
              <w:rPr>
                <w:rFonts w:ascii="Times New Roman" w:hAnsi="Times New Roman" w:cs="Times New Roman"/>
                <w:sz w:val="24"/>
                <w:szCs w:val="24"/>
              </w:rPr>
              <w:t xml:space="preserve"> </w:t>
            </w:r>
            <w:proofErr w:type="gramStart"/>
            <w:r>
              <w:rPr>
                <w:rFonts w:ascii="Times New Roman" w:hAnsi="Times New Roman" w:cs="Times New Roman"/>
                <w:sz w:val="24"/>
                <w:szCs w:val="24"/>
              </w:rPr>
              <w:t>электри-ческая</w:t>
            </w:r>
            <w:proofErr w:type="gramEnd"/>
            <w:r>
              <w:rPr>
                <w:rFonts w:ascii="Times New Roman" w:hAnsi="Times New Roman" w:cs="Times New Roman"/>
                <w:sz w:val="24"/>
                <w:szCs w:val="24"/>
              </w:rPr>
              <w:t xml:space="preserve"> номиналь</w:t>
            </w:r>
            <w:r w:rsidR="00D17892" w:rsidRPr="00D17892">
              <w:rPr>
                <w:rFonts w:ascii="Times New Roman" w:hAnsi="Times New Roman" w:cs="Times New Roman"/>
                <w:sz w:val="24"/>
                <w:szCs w:val="24"/>
              </w:rPr>
              <w:t>-</w:t>
            </w:r>
            <w:r>
              <w:rPr>
                <w:rFonts w:ascii="Times New Roman" w:hAnsi="Times New Roman" w:cs="Times New Roman"/>
                <w:sz w:val="24"/>
                <w:szCs w:val="24"/>
              </w:rPr>
              <w:t xml:space="preserve">ная  </w:t>
            </w:r>
            <w:r>
              <w:rPr>
                <w:rFonts w:ascii="Times New Roman" w:hAnsi="Times New Roman" w:cs="Times New Roman"/>
                <w:sz w:val="24"/>
                <w:szCs w:val="24"/>
                <w:lang w:val="en-US"/>
              </w:rPr>
              <w:t>N</w:t>
            </w:r>
            <w:r>
              <w:rPr>
                <w:rFonts w:ascii="Times New Roman" w:hAnsi="Times New Roman" w:cs="Times New Roman"/>
                <w:sz w:val="24"/>
                <w:szCs w:val="24"/>
                <w:vertAlign w:val="subscript"/>
              </w:rPr>
              <w:t>э</w:t>
            </w:r>
            <w:r w:rsidR="00BF029A">
              <w:rPr>
                <w:rFonts w:ascii="Times New Roman" w:hAnsi="Times New Roman" w:cs="Times New Roman"/>
                <w:sz w:val="24"/>
                <w:szCs w:val="24"/>
                <w:vertAlign w:val="superscript"/>
              </w:rPr>
              <w:t>ном</w:t>
            </w:r>
            <w:r w:rsidRPr="006A03A4">
              <w:rPr>
                <w:rFonts w:ascii="Times New Roman" w:hAnsi="Times New Roman" w:cs="Times New Roman"/>
                <w:sz w:val="24"/>
                <w:szCs w:val="24"/>
              </w:rPr>
              <w:t>, кВт</w:t>
            </w:r>
          </w:p>
        </w:tc>
        <w:tc>
          <w:tcPr>
            <w:tcW w:w="1238" w:type="pct"/>
            <w:gridSpan w:val="3"/>
          </w:tcPr>
          <w:p w:rsidR="005F1210" w:rsidRDefault="005F1210" w:rsidP="002223E3">
            <w:pPr>
              <w:jc w:val="both"/>
              <w:rPr>
                <w:rFonts w:ascii="Times New Roman" w:hAnsi="Times New Roman" w:cs="Times New Roman"/>
                <w:sz w:val="24"/>
                <w:szCs w:val="24"/>
              </w:rPr>
            </w:pPr>
            <w:r>
              <w:rPr>
                <w:rFonts w:ascii="Times New Roman" w:hAnsi="Times New Roman" w:cs="Times New Roman"/>
                <w:sz w:val="24"/>
                <w:szCs w:val="24"/>
              </w:rPr>
              <w:t>Расход природного газа, м</w:t>
            </w:r>
            <w:r w:rsidRPr="00312426">
              <w:rPr>
                <w:rFonts w:ascii="Times New Roman" w:hAnsi="Times New Roman" w:cs="Times New Roman"/>
                <w:sz w:val="24"/>
                <w:szCs w:val="24"/>
                <w:vertAlign w:val="superscript"/>
              </w:rPr>
              <w:t>3</w:t>
            </w:r>
            <w:r>
              <w:rPr>
                <w:rFonts w:ascii="Times New Roman" w:hAnsi="Times New Roman" w:cs="Times New Roman"/>
                <w:sz w:val="24"/>
                <w:szCs w:val="24"/>
              </w:rPr>
              <w:t xml:space="preserve">/ч, при нагрузке, % </w:t>
            </w:r>
            <w:proofErr w:type="gramStart"/>
            <w:r>
              <w:rPr>
                <w:rFonts w:ascii="Times New Roman" w:hAnsi="Times New Roman" w:cs="Times New Roman"/>
                <w:sz w:val="24"/>
                <w:szCs w:val="24"/>
              </w:rPr>
              <w:t>от</w:t>
            </w:r>
            <w:proofErr w:type="gramEnd"/>
            <w:r>
              <w:rPr>
                <w:rFonts w:ascii="Times New Roman" w:hAnsi="Times New Roman" w:cs="Times New Roman"/>
                <w:sz w:val="24"/>
                <w:szCs w:val="24"/>
              </w:rPr>
              <w:t xml:space="preserve"> номинальной</w:t>
            </w:r>
          </w:p>
        </w:tc>
        <w:tc>
          <w:tcPr>
            <w:tcW w:w="1063" w:type="pct"/>
            <w:gridSpan w:val="3"/>
          </w:tcPr>
          <w:p w:rsidR="005F1210" w:rsidRDefault="005F1210" w:rsidP="002223E3">
            <w:pPr>
              <w:jc w:val="both"/>
              <w:rPr>
                <w:rFonts w:ascii="Times New Roman" w:hAnsi="Times New Roman" w:cs="Times New Roman"/>
                <w:sz w:val="24"/>
                <w:szCs w:val="24"/>
              </w:rPr>
            </w:pPr>
            <w:r>
              <w:rPr>
                <w:rFonts w:ascii="Times New Roman" w:hAnsi="Times New Roman" w:cs="Times New Roman"/>
                <w:sz w:val="24"/>
                <w:szCs w:val="24"/>
              </w:rPr>
              <w:t xml:space="preserve">Подвод теплоты, МДж/кВт·ч  при нагрузке, % </w:t>
            </w:r>
            <w:proofErr w:type="gramStart"/>
            <w:r>
              <w:rPr>
                <w:rFonts w:ascii="Times New Roman" w:hAnsi="Times New Roman" w:cs="Times New Roman"/>
                <w:sz w:val="24"/>
                <w:szCs w:val="24"/>
              </w:rPr>
              <w:t>от</w:t>
            </w:r>
            <w:proofErr w:type="gramEnd"/>
            <w:r>
              <w:rPr>
                <w:rFonts w:ascii="Times New Roman" w:hAnsi="Times New Roman" w:cs="Times New Roman"/>
                <w:sz w:val="24"/>
                <w:szCs w:val="24"/>
              </w:rPr>
              <w:t xml:space="preserve"> номинальной</w:t>
            </w:r>
          </w:p>
        </w:tc>
        <w:tc>
          <w:tcPr>
            <w:tcW w:w="917" w:type="pct"/>
            <w:vMerge w:val="restart"/>
          </w:tcPr>
          <w:p w:rsidR="005F1210" w:rsidRDefault="005F1210" w:rsidP="005F1210">
            <w:pPr>
              <w:jc w:val="both"/>
              <w:rPr>
                <w:rFonts w:ascii="Times New Roman" w:hAnsi="Times New Roman" w:cs="Times New Roman"/>
                <w:sz w:val="24"/>
                <w:szCs w:val="24"/>
              </w:rPr>
            </w:pPr>
            <w:r>
              <w:rPr>
                <w:rFonts w:ascii="Times New Roman" w:hAnsi="Times New Roman" w:cs="Times New Roman"/>
                <w:sz w:val="24"/>
                <w:szCs w:val="24"/>
              </w:rPr>
              <w:t xml:space="preserve">Теплоотвод </w:t>
            </w:r>
            <w:r w:rsidR="00D17892">
              <w:rPr>
                <w:rFonts w:ascii="Times New Roman" w:hAnsi="Times New Roman" w:cs="Times New Roman"/>
                <w:sz w:val="24"/>
                <w:szCs w:val="24"/>
              </w:rPr>
              <w:t>в</w:t>
            </w:r>
            <w:r w:rsidR="00D17892" w:rsidRPr="00D17892">
              <w:rPr>
                <w:rFonts w:ascii="Times New Roman" w:hAnsi="Times New Roman" w:cs="Times New Roman"/>
                <w:sz w:val="24"/>
                <w:szCs w:val="24"/>
              </w:rPr>
              <w:t xml:space="preserve"> </w:t>
            </w:r>
            <w:r w:rsidR="00BF029A">
              <w:rPr>
                <w:rFonts w:ascii="Times New Roman" w:hAnsi="Times New Roman" w:cs="Times New Roman"/>
                <w:sz w:val="24"/>
                <w:szCs w:val="24"/>
              </w:rPr>
              <w:t>КУ</w:t>
            </w:r>
            <w:r w:rsidR="00D17892" w:rsidRPr="00D17892">
              <w:rPr>
                <w:rFonts w:ascii="Times New Roman" w:hAnsi="Times New Roman" w:cs="Times New Roman"/>
                <w:sz w:val="24"/>
                <w:szCs w:val="24"/>
              </w:rPr>
              <w:t xml:space="preserve"> </w:t>
            </w:r>
            <w:r w:rsidR="00D17892">
              <w:rPr>
                <w:rFonts w:ascii="Times New Roman" w:hAnsi="Times New Roman" w:cs="Times New Roman"/>
                <w:sz w:val="24"/>
                <w:szCs w:val="24"/>
              </w:rPr>
              <w:t>с</w:t>
            </w:r>
            <w:r w:rsidR="00D17892" w:rsidRPr="00D17892">
              <w:rPr>
                <w:rFonts w:ascii="Times New Roman" w:hAnsi="Times New Roman" w:cs="Times New Roman"/>
                <w:sz w:val="24"/>
                <w:szCs w:val="24"/>
              </w:rPr>
              <w:t xml:space="preserve"> </w:t>
            </w:r>
            <w:r w:rsidR="00D17892">
              <w:rPr>
                <w:rFonts w:ascii="Times New Roman" w:hAnsi="Times New Roman" w:cs="Times New Roman"/>
                <w:sz w:val="24"/>
                <w:szCs w:val="24"/>
              </w:rPr>
              <w:t>выхлопом</w:t>
            </w:r>
            <w:r w:rsidR="00D17892" w:rsidRPr="00D17892">
              <w:rPr>
                <w:rFonts w:ascii="Times New Roman" w:hAnsi="Times New Roman" w:cs="Times New Roman"/>
                <w:sz w:val="24"/>
                <w:szCs w:val="24"/>
              </w:rPr>
              <w:t xml:space="preserve"> </w:t>
            </w:r>
            <w:r>
              <w:rPr>
                <w:rFonts w:ascii="Times New Roman" w:hAnsi="Times New Roman" w:cs="Times New Roman"/>
                <w:sz w:val="24"/>
                <w:szCs w:val="24"/>
              </w:rPr>
              <w:t>/</w:t>
            </w:r>
            <w:r w:rsidR="00D17892">
              <w:rPr>
                <w:rFonts w:ascii="Times New Roman" w:hAnsi="Times New Roman" w:cs="Times New Roman"/>
                <w:sz w:val="24"/>
                <w:szCs w:val="24"/>
              </w:rPr>
              <w:t>охл</w:t>
            </w:r>
            <w:r w:rsidR="00D17892" w:rsidRPr="00D17892">
              <w:rPr>
                <w:rFonts w:ascii="Times New Roman" w:hAnsi="Times New Roman" w:cs="Times New Roman"/>
                <w:sz w:val="24"/>
                <w:szCs w:val="24"/>
              </w:rPr>
              <w:t>.</w:t>
            </w:r>
            <w:r w:rsidR="00E13016">
              <w:rPr>
                <w:rFonts w:ascii="Times New Roman" w:hAnsi="Times New Roman" w:cs="Times New Roman"/>
                <w:sz w:val="24"/>
                <w:szCs w:val="24"/>
              </w:rPr>
              <w:t xml:space="preserve"> жидкостью, кВт, нагрузка</w:t>
            </w:r>
            <w:r>
              <w:rPr>
                <w:rFonts w:ascii="Times New Roman" w:hAnsi="Times New Roman" w:cs="Times New Roman"/>
                <w:sz w:val="24"/>
                <w:szCs w:val="24"/>
              </w:rPr>
              <w:t xml:space="preserve"> 100</w:t>
            </w:r>
            <w:r w:rsidR="00BF029A">
              <w:rPr>
                <w:rFonts w:ascii="Times New Roman" w:hAnsi="Times New Roman" w:cs="Times New Roman"/>
                <w:sz w:val="24"/>
                <w:szCs w:val="24"/>
              </w:rPr>
              <w:t xml:space="preserve">% </w:t>
            </w:r>
            <w:proofErr w:type="gramStart"/>
            <w:r w:rsidR="00BF029A">
              <w:rPr>
                <w:rFonts w:ascii="Times New Roman" w:hAnsi="Times New Roman" w:cs="Times New Roman"/>
                <w:sz w:val="24"/>
                <w:szCs w:val="24"/>
                <w:lang w:val="en-US"/>
              </w:rPr>
              <w:t>N</w:t>
            </w:r>
            <w:proofErr w:type="gramEnd"/>
            <w:r w:rsidR="00BF029A">
              <w:rPr>
                <w:rFonts w:ascii="Times New Roman" w:hAnsi="Times New Roman" w:cs="Times New Roman"/>
                <w:sz w:val="24"/>
                <w:szCs w:val="24"/>
                <w:vertAlign w:val="subscript"/>
              </w:rPr>
              <w:t>ном</w:t>
            </w:r>
            <w:r w:rsidR="00C47DF4" w:rsidRPr="00E9084C">
              <w:rPr>
                <w:rFonts w:ascii="Times New Roman" w:hAnsi="Times New Roman" w:cs="Times New Roman"/>
                <w:sz w:val="24"/>
                <w:szCs w:val="24"/>
                <w:vertAlign w:val="superscript"/>
              </w:rPr>
              <w:t>**</w:t>
            </w:r>
            <w:r w:rsidR="00B9531A">
              <w:rPr>
                <w:rFonts w:ascii="Times New Roman" w:hAnsi="Times New Roman" w:cs="Times New Roman"/>
                <w:sz w:val="24"/>
                <w:szCs w:val="24"/>
                <w:vertAlign w:val="superscript"/>
              </w:rPr>
              <w:t>*</w:t>
            </w:r>
          </w:p>
        </w:tc>
      </w:tr>
      <w:tr w:rsidR="00D17892" w:rsidTr="00D17892">
        <w:trPr>
          <w:trHeight w:val="690"/>
        </w:trPr>
        <w:tc>
          <w:tcPr>
            <w:tcW w:w="563" w:type="pct"/>
            <w:vMerge/>
          </w:tcPr>
          <w:p w:rsidR="005F1210" w:rsidRDefault="005F1210" w:rsidP="002223E3">
            <w:pPr>
              <w:jc w:val="both"/>
              <w:rPr>
                <w:rFonts w:ascii="Times New Roman" w:hAnsi="Times New Roman" w:cs="Times New Roman"/>
                <w:sz w:val="24"/>
                <w:szCs w:val="24"/>
              </w:rPr>
            </w:pPr>
          </w:p>
        </w:tc>
        <w:tc>
          <w:tcPr>
            <w:tcW w:w="502" w:type="pct"/>
            <w:gridSpan w:val="2"/>
            <w:vMerge/>
          </w:tcPr>
          <w:p w:rsidR="005F1210" w:rsidRDefault="005F1210" w:rsidP="002223E3">
            <w:pPr>
              <w:jc w:val="both"/>
              <w:rPr>
                <w:rFonts w:ascii="Times New Roman" w:hAnsi="Times New Roman" w:cs="Times New Roman"/>
                <w:sz w:val="24"/>
                <w:szCs w:val="24"/>
              </w:rPr>
            </w:pPr>
          </w:p>
        </w:tc>
        <w:tc>
          <w:tcPr>
            <w:tcW w:w="717" w:type="pct"/>
            <w:vMerge/>
          </w:tcPr>
          <w:p w:rsidR="005F1210" w:rsidRPr="006A03A4" w:rsidRDefault="005F1210" w:rsidP="002223E3">
            <w:pPr>
              <w:jc w:val="both"/>
              <w:rPr>
                <w:rFonts w:ascii="Times New Roman" w:hAnsi="Times New Roman" w:cs="Times New Roman"/>
                <w:sz w:val="24"/>
                <w:szCs w:val="24"/>
              </w:rPr>
            </w:pPr>
          </w:p>
        </w:tc>
        <w:tc>
          <w:tcPr>
            <w:tcW w:w="372" w:type="pct"/>
          </w:tcPr>
          <w:p w:rsidR="005F1210" w:rsidRDefault="005F1210" w:rsidP="002223E3">
            <w:pPr>
              <w:jc w:val="both"/>
              <w:rPr>
                <w:rFonts w:ascii="Times New Roman" w:hAnsi="Times New Roman" w:cs="Times New Roman"/>
                <w:sz w:val="24"/>
                <w:szCs w:val="24"/>
              </w:rPr>
            </w:pPr>
            <w:r>
              <w:rPr>
                <w:rFonts w:ascii="Times New Roman" w:hAnsi="Times New Roman" w:cs="Times New Roman"/>
                <w:sz w:val="24"/>
                <w:szCs w:val="24"/>
              </w:rPr>
              <w:t>100%</w:t>
            </w:r>
          </w:p>
        </w:tc>
        <w:tc>
          <w:tcPr>
            <w:tcW w:w="433" w:type="pct"/>
          </w:tcPr>
          <w:p w:rsidR="005F1210" w:rsidRDefault="005F1210" w:rsidP="002223E3">
            <w:pPr>
              <w:jc w:val="both"/>
              <w:rPr>
                <w:rFonts w:ascii="Times New Roman" w:hAnsi="Times New Roman" w:cs="Times New Roman"/>
                <w:sz w:val="24"/>
                <w:szCs w:val="24"/>
              </w:rPr>
            </w:pPr>
            <w:r>
              <w:rPr>
                <w:rFonts w:ascii="Times New Roman" w:hAnsi="Times New Roman" w:cs="Times New Roman"/>
                <w:sz w:val="24"/>
                <w:szCs w:val="24"/>
              </w:rPr>
              <w:t>75%</w:t>
            </w:r>
          </w:p>
        </w:tc>
        <w:tc>
          <w:tcPr>
            <w:tcW w:w="433" w:type="pct"/>
          </w:tcPr>
          <w:p w:rsidR="005F1210" w:rsidRDefault="005F1210" w:rsidP="002223E3">
            <w:pPr>
              <w:jc w:val="both"/>
              <w:rPr>
                <w:rFonts w:ascii="Times New Roman" w:hAnsi="Times New Roman" w:cs="Times New Roman"/>
                <w:sz w:val="24"/>
                <w:szCs w:val="24"/>
              </w:rPr>
            </w:pPr>
            <w:r>
              <w:rPr>
                <w:rFonts w:ascii="Times New Roman" w:hAnsi="Times New Roman" w:cs="Times New Roman"/>
                <w:sz w:val="24"/>
                <w:szCs w:val="24"/>
              </w:rPr>
              <w:t>50%</w:t>
            </w:r>
          </w:p>
        </w:tc>
        <w:tc>
          <w:tcPr>
            <w:tcW w:w="360" w:type="pct"/>
          </w:tcPr>
          <w:p w:rsidR="005F1210" w:rsidRDefault="005F1210" w:rsidP="002223E3">
            <w:pPr>
              <w:jc w:val="both"/>
              <w:rPr>
                <w:rFonts w:ascii="Times New Roman" w:hAnsi="Times New Roman" w:cs="Times New Roman"/>
                <w:sz w:val="24"/>
                <w:szCs w:val="24"/>
              </w:rPr>
            </w:pPr>
            <w:r>
              <w:rPr>
                <w:rFonts w:ascii="Times New Roman" w:hAnsi="Times New Roman" w:cs="Times New Roman"/>
                <w:sz w:val="24"/>
                <w:szCs w:val="24"/>
              </w:rPr>
              <w:t>100%</w:t>
            </w:r>
          </w:p>
        </w:tc>
        <w:tc>
          <w:tcPr>
            <w:tcW w:w="361" w:type="pct"/>
          </w:tcPr>
          <w:p w:rsidR="005F1210" w:rsidRDefault="005F1210" w:rsidP="002223E3">
            <w:pPr>
              <w:jc w:val="both"/>
              <w:rPr>
                <w:rFonts w:ascii="Times New Roman" w:hAnsi="Times New Roman" w:cs="Times New Roman"/>
                <w:sz w:val="24"/>
                <w:szCs w:val="24"/>
              </w:rPr>
            </w:pPr>
            <w:r>
              <w:rPr>
                <w:rFonts w:ascii="Times New Roman" w:hAnsi="Times New Roman" w:cs="Times New Roman"/>
                <w:sz w:val="24"/>
                <w:szCs w:val="24"/>
              </w:rPr>
              <w:t>75%</w:t>
            </w:r>
          </w:p>
        </w:tc>
        <w:tc>
          <w:tcPr>
            <w:tcW w:w="343" w:type="pct"/>
          </w:tcPr>
          <w:p w:rsidR="005F1210" w:rsidRDefault="005F1210" w:rsidP="002223E3">
            <w:pPr>
              <w:jc w:val="both"/>
              <w:rPr>
                <w:rFonts w:ascii="Times New Roman" w:hAnsi="Times New Roman" w:cs="Times New Roman"/>
                <w:sz w:val="24"/>
                <w:szCs w:val="24"/>
              </w:rPr>
            </w:pPr>
            <w:r>
              <w:rPr>
                <w:rFonts w:ascii="Times New Roman" w:hAnsi="Times New Roman" w:cs="Times New Roman"/>
                <w:sz w:val="24"/>
                <w:szCs w:val="24"/>
              </w:rPr>
              <w:t>50%</w:t>
            </w:r>
          </w:p>
        </w:tc>
        <w:tc>
          <w:tcPr>
            <w:tcW w:w="917" w:type="pct"/>
            <w:vMerge/>
          </w:tcPr>
          <w:p w:rsidR="005F1210" w:rsidRDefault="005F1210" w:rsidP="005F1210">
            <w:pPr>
              <w:jc w:val="both"/>
              <w:rPr>
                <w:rFonts w:ascii="Times New Roman" w:hAnsi="Times New Roman" w:cs="Times New Roman"/>
                <w:sz w:val="24"/>
                <w:szCs w:val="24"/>
              </w:rPr>
            </w:pPr>
          </w:p>
        </w:tc>
      </w:tr>
      <w:tr w:rsidR="00D17892" w:rsidTr="00D17892">
        <w:tc>
          <w:tcPr>
            <w:tcW w:w="567" w:type="pct"/>
            <w:gridSpan w:val="2"/>
          </w:tcPr>
          <w:p w:rsidR="005F1210" w:rsidRPr="0071724C" w:rsidRDefault="0071724C" w:rsidP="002223E3">
            <w:pPr>
              <w:jc w:val="both"/>
              <w:rPr>
                <w:rFonts w:ascii="Times New Roman" w:hAnsi="Times New Roman" w:cs="Times New Roman"/>
                <w:sz w:val="24"/>
                <w:szCs w:val="24"/>
                <w:lang w:val="en-US"/>
              </w:rPr>
            </w:pPr>
            <w:r>
              <w:rPr>
                <w:rFonts w:ascii="Times New Roman" w:hAnsi="Times New Roman" w:cs="Times New Roman"/>
                <w:sz w:val="24"/>
                <w:szCs w:val="24"/>
              </w:rPr>
              <w:t xml:space="preserve">G3516С </w:t>
            </w:r>
            <w:r>
              <w:rPr>
                <w:rFonts w:ascii="Times New Roman" w:hAnsi="Times New Roman" w:cs="Times New Roman"/>
                <w:sz w:val="24"/>
                <w:szCs w:val="24"/>
                <w:lang w:val="en-US"/>
              </w:rPr>
              <w:t>LE</w:t>
            </w:r>
          </w:p>
        </w:tc>
        <w:tc>
          <w:tcPr>
            <w:tcW w:w="498" w:type="pct"/>
          </w:tcPr>
          <w:p w:rsidR="005F1210" w:rsidRDefault="005F1210" w:rsidP="002223E3">
            <w:pPr>
              <w:jc w:val="both"/>
              <w:rPr>
                <w:rFonts w:ascii="Times New Roman" w:hAnsi="Times New Roman" w:cs="Times New Roman"/>
                <w:sz w:val="24"/>
                <w:szCs w:val="24"/>
              </w:rPr>
            </w:pPr>
            <w:r w:rsidRPr="006A03A4">
              <w:rPr>
                <w:rFonts w:ascii="Times New Roman" w:hAnsi="Times New Roman" w:cs="Times New Roman"/>
                <w:sz w:val="24"/>
                <w:szCs w:val="24"/>
              </w:rPr>
              <w:t>Cater</w:t>
            </w:r>
            <w:r w:rsidR="00D17892">
              <w:rPr>
                <w:rFonts w:ascii="Times New Roman" w:hAnsi="Times New Roman" w:cs="Times New Roman"/>
                <w:sz w:val="24"/>
                <w:szCs w:val="24"/>
                <w:lang w:val="en-US"/>
              </w:rPr>
              <w:t>-</w:t>
            </w:r>
            <w:r w:rsidRPr="006A03A4">
              <w:rPr>
                <w:rFonts w:ascii="Times New Roman" w:hAnsi="Times New Roman" w:cs="Times New Roman"/>
                <w:sz w:val="24"/>
                <w:szCs w:val="24"/>
              </w:rPr>
              <w:t>pillar</w:t>
            </w:r>
          </w:p>
        </w:tc>
        <w:tc>
          <w:tcPr>
            <w:tcW w:w="717" w:type="pct"/>
          </w:tcPr>
          <w:p w:rsidR="005F1210" w:rsidRPr="0071724C" w:rsidRDefault="0071724C" w:rsidP="002223E3">
            <w:pPr>
              <w:jc w:val="both"/>
              <w:rPr>
                <w:rFonts w:ascii="Times New Roman" w:hAnsi="Times New Roman" w:cs="Times New Roman"/>
                <w:sz w:val="24"/>
                <w:szCs w:val="24"/>
                <w:lang w:val="en-US"/>
              </w:rPr>
            </w:pPr>
            <w:r>
              <w:rPr>
                <w:rFonts w:ascii="Times New Roman" w:hAnsi="Times New Roman" w:cs="Times New Roman"/>
                <w:sz w:val="24"/>
                <w:szCs w:val="24"/>
                <w:lang w:val="en-US"/>
              </w:rPr>
              <w:t>1600</w:t>
            </w:r>
          </w:p>
        </w:tc>
        <w:tc>
          <w:tcPr>
            <w:tcW w:w="372" w:type="pct"/>
          </w:tcPr>
          <w:p w:rsidR="005F1210" w:rsidRPr="00C230DE" w:rsidRDefault="0071724C" w:rsidP="002223E3">
            <w:pPr>
              <w:jc w:val="both"/>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lang w:val="en-US"/>
              </w:rPr>
              <w:t>11</w:t>
            </w:r>
            <w:r w:rsidR="00C230DE">
              <w:rPr>
                <w:rFonts w:ascii="Times New Roman" w:hAnsi="Times New Roman" w:cs="Times New Roman"/>
                <w:sz w:val="24"/>
                <w:szCs w:val="24"/>
              </w:rPr>
              <w:t>*</w:t>
            </w:r>
          </w:p>
        </w:tc>
        <w:tc>
          <w:tcPr>
            <w:tcW w:w="433" w:type="pct"/>
          </w:tcPr>
          <w:p w:rsidR="005F1210" w:rsidRPr="00C230DE" w:rsidRDefault="0071724C" w:rsidP="002223E3">
            <w:pPr>
              <w:jc w:val="both"/>
              <w:rPr>
                <w:rFonts w:ascii="Times New Roman" w:hAnsi="Times New Roman" w:cs="Times New Roman"/>
                <w:sz w:val="24"/>
                <w:szCs w:val="24"/>
              </w:rPr>
            </w:pPr>
            <w:r>
              <w:rPr>
                <w:rFonts w:ascii="Times New Roman" w:hAnsi="Times New Roman" w:cs="Times New Roman"/>
                <w:sz w:val="24"/>
                <w:szCs w:val="24"/>
                <w:lang w:val="en-US"/>
              </w:rPr>
              <w:t>314</w:t>
            </w:r>
            <w:r w:rsidR="00C230DE">
              <w:rPr>
                <w:rFonts w:ascii="Times New Roman" w:hAnsi="Times New Roman" w:cs="Times New Roman"/>
                <w:sz w:val="24"/>
                <w:szCs w:val="24"/>
              </w:rPr>
              <w:t>*</w:t>
            </w:r>
          </w:p>
        </w:tc>
        <w:tc>
          <w:tcPr>
            <w:tcW w:w="433" w:type="pct"/>
          </w:tcPr>
          <w:p w:rsidR="005F1210" w:rsidRPr="00C230DE" w:rsidRDefault="0071724C" w:rsidP="002223E3">
            <w:pPr>
              <w:jc w:val="both"/>
              <w:rPr>
                <w:rFonts w:ascii="Times New Roman" w:hAnsi="Times New Roman" w:cs="Times New Roman"/>
                <w:sz w:val="24"/>
                <w:szCs w:val="24"/>
              </w:rPr>
            </w:pPr>
            <w:r>
              <w:rPr>
                <w:rFonts w:ascii="Times New Roman" w:hAnsi="Times New Roman" w:cs="Times New Roman"/>
                <w:sz w:val="24"/>
                <w:szCs w:val="24"/>
                <w:lang w:val="en-US"/>
              </w:rPr>
              <w:t>219</w:t>
            </w:r>
            <w:r w:rsidR="00C230DE">
              <w:rPr>
                <w:rFonts w:ascii="Times New Roman" w:hAnsi="Times New Roman" w:cs="Times New Roman"/>
                <w:sz w:val="24"/>
                <w:szCs w:val="24"/>
              </w:rPr>
              <w:t>*</w:t>
            </w:r>
          </w:p>
        </w:tc>
        <w:tc>
          <w:tcPr>
            <w:tcW w:w="360" w:type="pct"/>
          </w:tcPr>
          <w:p w:rsidR="005F1210" w:rsidRPr="0071724C" w:rsidRDefault="0071724C" w:rsidP="002223E3">
            <w:pPr>
              <w:jc w:val="both"/>
              <w:rPr>
                <w:rFonts w:ascii="Times New Roman" w:hAnsi="Times New Roman" w:cs="Times New Roman"/>
                <w:sz w:val="24"/>
                <w:szCs w:val="24"/>
                <w:lang w:val="en-US"/>
              </w:rPr>
            </w:pPr>
            <w:r>
              <w:rPr>
                <w:rFonts w:ascii="Times New Roman" w:hAnsi="Times New Roman" w:cs="Times New Roman"/>
                <w:sz w:val="24"/>
                <w:szCs w:val="24"/>
                <w:lang w:val="en-US"/>
              </w:rPr>
              <w:t>-</w:t>
            </w:r>
          </w:p>
        </w:tc>
        <w:tc>
          <w:tcPr>
            <w:tcW w:w="361" w:type="pct"/>
          </w:tcPr>
          <w:p w:rsidR="005F1210" w:rsidRPr="0071724C" w:rsidRDefault="0071724C" w:rsidP="002223E3">
            <w:pPr>
              <w:jc w:val="both"/>
              <w:rPr>
                <w:rFonts w:ascii="Times New Roman" w:hAnsi="Times New Roman" w:cs="Times New Roman"/>
                <w:sz w:val="24"/>
                <w:szCs w:val="24"/>
                <w:lang w:val="en-US"/>
              </w:rPr>
            </w:pPr>
            <w:r>
              <w:rPr>
                <w:rFonts w:ascii="Times New Roman" w:hAnsi="Times New Roman" w:cs="Times New Roman"/>
                <w:sz w:val="24"/>
                <w:szCs w:val="24"/>
                <w:lang w:val="en-US"/>
              </w:rPr>
              <w:t>-</w:t>
            </w:r>
          </w:p>
        </w:tc>
        <w:tc>
          <w:tcPr>
            <w:tcW w:w="343" w:type="pct"/>
          </w:tcPr>
          <w:p w:rsidR="005F1210" w:rsidRPr="0071724C" w:rsidRDefault="0071724C" w:rsidP="002223E3">
            <w:pPr>
              <w:jc w:val="both"/>
              <w:rPr>
                <w:rFonts w:ascii="Times New Roman" w:hAnsi="Times New Roman" w:cs="Times New Roman"/>
                <w:sz w:val="24"/>
                <w:szCs w:val="24"/>
                <w:lang w:val="en-US"/>
              </w:rPr>
            </w:pPr>
            <w:r>
              <w:rPr>
                <w:rFonts w:ascii="Times New Roman" w:hAnsi="Times New Roman" w:cs="Times New Roman"/>
                <w:sz w:val="24"/>
                <w:szCs w:val="24"/>
                <w:lang w:val="en-US"/>
              </w:rPr>
              <w:t>-</w:t>
            </w:r>
          </w:p>
        </w:tc>
        <w:tc>
          <w:tcPr>
            <w:tcW w:w="917" w:type="pct"/>
          </w:tcPr>
          <w:p w:rsidR="005F1210" w:rsidRPr="00C47DF4" w:rsidRDefault="0071724C" w:rsidP="00C230DE">
            <w:pPr>
              <w:jc w:val="both"/>
              <w:rPr>
                <w:rFonts w:ascii="Times New Roman" w:hAnsi="Times New Roman" w:cs="Times New Roman"/>
                <w:sz w:val="24"/>
                <w:szCs w:val="24"/>
              </w:rPr>
            </w:pPr>
            <w:r>
              <w:rPr>
                <w:rFonts w:ascii="Times New Roman" w:hAnsi="Times New Roman" w:cs="Times New Roman"/>
                <w:sz w:val="24"/>
                <w:szCs w:val="24"/>
                <w:lang w:val="en-US"/>
              </w:rPr>
              <w:t>1064 / 813</w:t>
            </w:r>
          </w:p>
        </w:tc>
      </w:tr>
      <w:tr w:rsidR="00D17892" w:rsidTr="00D17892">
        <w:tc>
          <w:tcPr>
            <w:tcW w:w="567" w:type="pct"/>
            <w:gridSpan w:val="2"/>
          </w:tcPr>
          <w:p w:rsidR="005F1210" w:rsidRPr="0071724C" w:rsidRDefault="00D17892" w:rsidP="002223E3">
            <w:pPr>
              <w:jc w:val="both"/>
              <w:rPr>
                <w:rFonts w:ascii="Times New Roman" w:hAnsi="Times New Roman" w:cs="Times New Roman"/>
                <w:sz w:val="24"/>
                <w:szCs w:val="24"/>
                <w:lang w:val="en-US"/>
              </w:rPr>
            </w:pPr>
            <w:r>
              <w:rPr>
                <w:rFonts w:ascii="Times New Roman" w:hAnsi="Times New Roman" w:cs="Times New Roman"/>
                <w:sz w:val="24"/>
                <w:szCs w:val="24"/>
                <w:lang w:val="en-US"/>
              </w:rPr>
              <w:t>TCG 2016</w:t>
            </w:r>
            <w:r w:rsidR="0071724C">
              <w:rPr>
                <w:rFonts w:ascii="Times New Roman" w:hAnsi="Times New Roman" w:cs="Times New Roman"/>
                <w:sz w:val="24"/>
                <w:szCs w:val="24"/>
                <w:lang w:val="en-US"/>
              </w:rPr>
              <w:t>V32</w:t>
            </w:r>
          </w:p>
        </w:tc>
        <w:tc>
          <w:tcPr>
            <w:tcW w:w="498" w:type="pct"/>
          </w:tcPr>
          <w:p w:rsidR="005F1210" w:rsidRPr="0071724C" w:rsidRDefault="0071724C" w:rsidP="002223E3">
            <w:pPr>
              <w:jc w:val="both"/>
              <w:rPr>
                <w:rFonts w:ascii="Times New Roman" w:hAnsi="Times New Roman" w:cs="Times New Roman"/>
                <w:sz w:val="24"/>
                <w:szCs w:val="24"/>
                <w:lang w:val="en-US"/>
              </w:rPr>
            </w:pPr>
            <w:r>
              <w:rPr>
                <w:rFonts w:ascii="Times New Roman" w:hAnsi="Times New Roman" w:cs="Times New Roman"/>
                <w:sz w:val="24"/>
                <w:szCs w:val="24"/>
                <w:lang w:val="en-US"/>
              </w:rPr>
              <w:t>MWM</w:t>
            </w:r>
          </w:p>
        </w:tc>
        <w:tc>
          <w:tcPr>
            <w:tcW w:w="717" w:type="pct"/>
          </w:tcPr>
          <w:p w:rsidR="005F1210" w:rsidRPr="0071724C" w:rsidRDefault="0071724C" w:rsidP="002223E3">
            <w:pPr>
              <w:jc w:val="both"/>
              <w:rPr>
                <w:rFonts w:ascii="Times New Roman" w:hAnsi="Times New Roman" w:cs="Times New Roman"/>
                <w:sz w:val="24"/>
                <w:szCs w:val="24"/>
                <w:lang w:val="en-US"/>
              </w:rPr>
            </w:pPr>
            <w:r>
              <w:rPr>
                <w:rFonts w:ascii="Times New Roman" w:hAnsi="Times New Roman" w:cs="Times New Roman"/>
                <w:sz w:val="24"/>
                <w:szCs w:val="24"/>
                <w:lang w:val="en-US"/>
              </w:rPr>
              <w:t>4300</w:t>
            </w:r>
          </w:p>
        </w:tc>
        <w:tc>
          <w:tcPr>
            <w:tcW w:w="372" w:type="pct"/>
          </w:tcPr>
          <w:p w:rsidR="005F1210" w:rsidRPr="00C230DE" w:rsidRDefault="0071724C" w:rsidP="002223E3">
            <w:pPr>
              <w:jc w:val="both"/>
              <w:rPr>
                <w:rFonts w:ascii="Times New Roman" w:hAnsi="Times New Roman" w:cs="Times New Roman"/>
                <w:sz w:val="24"/>
                <w:szCs w:val="24"/>
              </w:rPr>
            </w:pPr>
            <w:r>
              <w:rPr>
                <w:rFonts w:ascii="Times New Roman" w:hAnsi="Times New Roman" w:cs="Times New Roman"/>
                <w:sz w:val="24"/>
                <w:szCs w:val="24"/>
                <w:lang w:val="en-US"/>
              </w:rPr>
              <w:t>1041</w:t>
            </w:r>
            <w:r w:rsidR="00C230DE" w:rsidRPr="00A65992">
              <w:rPr>
                <w:rFonts w:ascii="Times New Roman" w:hAnsi="Times New Roman" w:cs="Times New Roman"/>
                <w:sz w:val="24"/>
                <w:szCs w:val="24"/>
                <w:vertAlign w:val="superscript"/>
              </w:rPr>
              <w:t>**</w:t>
            </w:r>
          </w:p>
        </w:tc>
        <w:tc>
          <w:tcPr>
            <w:tcW w:w="433" w:type="pct"/>
          </w:tcPr>
          <w:p w:rsidR="005F1210" w:rsidRPr="00C230DE" w:rsidRDefault="0071724C" w:rsidP="002223E3">
            <w:pPr>
              <w:jc w:val="both"/>
              <w:rPr>
                <w:rFonts w:ascii="Times New Roman" w:hAnsi="Times New Roman" w:cs="Times New Roman"/>
                <w:sz w:val="24"/>
                <w:szCs w:val="24"/>
              </w:rPr>
            </w:pPr>
            <w:r>
              <w:rPr>
                <w:rFonts w:ascii="Times New Roman" w:hAnsi="Times New Roman" w:cs="Times New Roman"/>
                <w:sz w:val="24"/>
                <w:szCs w:val="24"/>
                <w:lang w:val="en-US"/>
              </w:rPr>
              <w:t>810</w:t>
            </w:r>
            <w:r w:rsidR="00C230DE" w:rsidRPr="00A65992">
              <w:rPr>
                <w:rFonts w:ascii="Times New Roman" w:hAnsi="Times New Roman" w:cs="Times New Roman"/>
                <w:sz w:val="24"/>
                <w:szCs w:val="24"/>
                <w:vertAlign w:val="superscript"/>
              </w:rPr>
              <w:t>**</w:t>
            </w:r>
          </w:p>
        </w:tc>
        <w:tc>
          <w:tcPr>
            <w:tcW w:w="433" w:type="pct"/>
          </w:tcPr>
          <w:p w:rsidR="005F1210" w:rsidRPr="00C230DE" w:rsidRDefault="0071724C" w:rsidP="002223E3">
            <w:pPr>
              <w:jc w:val="both"/>
              <w:rPr>
                <w:rFonts w:ascii="Times New Roman" w:hAnsi="Times New Roman" w:cs="Times New Roman"/>
                <w:sz w:val="24"/>
                <w:szCs w:val="24"/>
              </w:rPr>
            </w:pPr>
            <w:r>
              <w:rPr>
                <w:rFonts w:ascii="Times New Roman" w:hAnsi="Times New Roman" w:cs="Times New Roman"/>
                <w:sz w:val="24"/>
                <w:szCs w:val="24"/>
                <w:lang w:val="en-US"/>
              </w:rPr>
              <w:t>559</w:t>
            </w:r>
            <w:r w:rsidR="00C230DE" w:rsidRPr="00A65992">
              <w:rPr>
                <w:rFonts w:ascii="Times New Roman" w:hAnsi="Times New Roman" w:cs="Times New Roman"/>
                <w:sz w:val="24"/>
                <w:szCs w:val="24"/>
                <w:vertAlign w:val="superscript"/>
              </w:rPr>
              <w:t>**</w:t>
            </w:r>
          </w:p>
        </w:tc>
        <w:tc>
          <w:tcPr>
            <w:tcW w:w="360" w:type="pct"/>
          </w:tcPr>
          <w:p w:rsidR="005F1210" w:rsidRPr="0071724C" w:rsidRDefault="0071724C" w:rsidP="002223E3">
            <w:pPr>
              <w:jc w:val="both"/>
              <w:rPr>
                <w:rFonts w:ascii="Times New Roman" w:hAnsi="Times New Roman" w:cs="Times New Roman"/>
                <w:sz w:val="24"/>
                <w:szCs w:val="24"/>
                <w:lang w:val="en-US"/>
              </w:rPr>
            </w:pPr>
            <w:r>
              <w:rPr>
                <w:rFonts w:ascii="Times New Roman" w:hAnsi="Times New Roman" w:cs="Times New Roman"/>
                <w:sz w:val="24"/>
                <w:szCs w:val="24"/>
                <w:lang w:val="en-US"/>
              </w:rPr>
              <w:t>-</w:t>
            </w:r>
          </w:p>
        </w:tc>
        <w:tc>
          <w:tcPr>
            <w:tcW w:w="361" w:type="pct"/>
          </w:tcPr>
          <w:p w:rsidR="005F1210" w:rsidRPr="0071724C" w:rsidRDefault="0071724C" w:rsidP="002223E3">
            <w:pPr>
              <w:jc w:val="both"/>
              <w:rPr>
                <w:rFonts w:ascii="Times New Roman" w:hAnsi="Times New Roman" w:cs="Times New Roman"/>
                <w:sz w:val="24"/>
                <w:szCs w:val="24"/>
                <w:lang w:val="en-US"/>
              </w:rPr>
            </w:pPr>
            <w:r>
              <w:rPr>
                <w:rFonts w:ascii="Times New Roman" w:hAnsi="Times New Roman" w:cs="Times New Roman"/>
                <w:sz w:val="24"/>
                <w:szCs w:val="24"/>
                <w:lang w:val="en-US"/>
              </w:rPr>
              <w:t>-</w:t>
            </w:r>
          </w:p>
        </w:tc>
        <w:tc>
          <w:tcPr>
            <w:tcW w:w="343" w:type="pct"/>
          </w:tcPr>
          <w:p w:rsidR="005F1210" w:rsidRPr="0071724C" w:rsidRDefault="0071724C" w:rsidP="002223E3">
            <w:pPr>
              <w:jc w:val="both"/>
              <w:rPr>
                <w:rFonts w:ascii="Times New Roman" w:hAnsi="Times New Roman" w:cs="Times New Roman"/>
                <w:sz w:val="24"/>
                <w:szCs w:val="24"/>
                <w:lang w:val="en-US"/>
              </w:rPr>
            </w:pPr>
            <w:r>
              <w:rPr>
                <w:rFonts w:ascii="Times New Roman" w:hAnsi="Times New Roman" w:cs="Times New Roman"/>
                <w:sz w:val="24"/>
                <w:szCs w:val="24"/>
                <w:lang w:val="en-US"/>
              </w:rPr>
              <w:t>-</w:t>
            </w:r>
          </w:p>
        </w:tc>
        <w:tc>
          <w:tcPr>
            <w:tcW w:w="917" w:type="pct"/>
          </w:tcPr>
          <w:p w:rsidR="005F1210" w:rsidRPr="00C47DF4" w:rsidRDefault="0071724C" w:rsidP="00C230DE">
            <w:pPr>
              <w:jc w:val="both"/>
              <w:rPr>
                <w:rFonts w:ascii="Times New Roman" w:hAnsi="Times New Roman" w:cs="Times New Roman"/>
                <w:sz w:val="24"/>
                <w:szCs w:val="24"/>
              </w:rPr>
            </w:pPr>
            <w:r>
              <w:rPr>
                <w:rFonts w:ascii="Times New Roman" w:hAnsi="Times New Roman" w:cs="Times New Roman"/>
                <w:sz w:val="24"/>
                <w:szCs w:val="24"/>
                <w:lang w:val="en-US"/>
              </w:rPr>
              <w:t>2240 / 1538</w:t>
            </w:r>
          </w:p>
        </w:tc>
      </w:tr>
      <w:tr w:rsidR="00D17892" w:rsidTr="00D17892">
        <w:tc>
          <w:tcPr>
            <w:tcW w:w="567" w:type="pct"/>
            <w:gridSpan w:val="2"/>
          </w:tcPr>
          <w:p w:rsidR="005F1210" w:rsidRDefault="005F1210" w:rsidP="002223E3">
            <w:pPr>
              <w:jc w:val="both"/>
              <w:rPr>
                <w:rFonts w:ascii="Times New Roman" w:hAnsi="Times New Roman" w:cs="Times New Roman"/>
                <w:sz w:val="24"/>
                <w:szCs w:val="24"/>
              </w:rPr>
            </w:pPr>
            <w:r w:rsidRPr="00D524CE">
              <w:rPr>
                <w:rFonts w:ascii="Times New Roman" w:hAnsi="Times New Roman" w:cs="Times New Roman"/>
                <w:sz w:val="24"/>
                <w:szCs w:val="24"/>
              </w:rPr>
              <w:t>G16CM34</w:t>
            </w:r>
          </w:p>
        </w:tc>
        <w:tc>
          <w:tcPr>
            <w:tcW w:w="498" w:type="pct"/>
          </w:tcPr>
          <w:p w:rsidR="005F1210" w:rsidRDefault="005F1210" w:rsidP="002223E3">
            <w:pPr>
              <w:jc w:val="both"/>
              <w:rPr>
                <w:rFonts w:ascii="Times New Roman" w:hAnsi="Times New Roman" w:cs="Times New Roman"/>
                <w:sz w:val="24"/>
                <w:szCs w:val="24"/>
              </w:rPr>
            </w:pPr>
            <w:r w:rsidRPr="00D524CE">
              <w:rPr>
                <w:rFonts w:ascii="Times New Roman" w:hAnsi="Times New Roman" w:cs="Times New Roman"/>
                <w:sz w:val="24"/>
                <w:szCs w:val="24"/>
              </w:rPr>
              <w:t>Cater</w:t>
            </w:r>
            <w:r w:rsidR="00D17892">
              <w:rPr>
                <w:rFonts w:ascii="Times New Roman" w:hAnsi="Times New Roman" w:cs="Times New Roman"/>
                <w:sz w:val="24"/>
                <w:szCs w:val="24"/>
                <w:lang w:val="en-US"/>
              </w:rPr>
              <w:t>-</w:t>
            </w:r>
            <w:r w:rsidRPr="00D524CE">
              <w:rPr>
                <w:rFonts w:ascii="Times New Roman" w:hAnsi="Times New Roman" w:cs="Times New Roman"/>
                <w:sz w:val="24"/>
                <w:szCs w:val="24"/>
              </w:rPr>
              <w:t>pillar</w:t>
            </w:r>
          </w:p>
        </w:tc>
        <w:tc>
          <w:tcPr>
            <w:tcW w:w="717" w:type="pct"/>
          </w:tcPr>
          <w:p w:rsidR="005F1210" w:rsidRPr="0071724C" w:rsidRDefault="0071724C" w:rsidP="002223E3">
            <w:pPr>
              <w:jc w:val="both"/>
              <w:rPr>
                <w:rFonts w:ascii="Times New Roman" w:hAnsi="Times New Roman" w:cs="Times New Roman"/>
                <w:sz w:val="24"/>
                <w:szCs w:val="24"/>
                <w:lang w:val="en-US"/>
              </w:rPr>
            </w:pPr>
            <w:r>
              <w:rPr>
                <w:rFonts w:ascii="Times New Roman" w:hAnsi="Times New Roman" w:cs="Times New Roman"/>
                <w:sz w:val="24"/>
                <w:szCs w:val="24"/>
              </w:rPr>
              <w:t>6</w:t>
            </w:r>
            <w:r>
              <w:rPr>
                <w:rFonts w:ascii="Times New Roman" w:hAnsi="Times New Roman" w:cs="Times New Roman"/>
                <w:sz w:val="24"/>
                <w:szCs w:val="24"/>
                <w:lang w:val="en-US"/>
              </w:rPr>
              <w:t>100</w:t>
            </w:r>
          </w:p>
        </w:tc>
        <w:tc>
          <w:tcPr>
            <w:tcW w:w="372" w:type="pct"/>
          </w:tcPr>
          <w:p w:rsidR="005F1210" w:rsidRPr="0071724C" w:rsidRDefault="0071724C" w:rsidP="002223E3">
            <w:pPr>
              <w:jc w:val="both"/>
              <w:rPr>
                <w:rFonts w:ascii="Times New Roman" w:hAnsi="Times New Roman" w:cs="Times New Roman"/>
                <w:sz w:val="24"/>
                <w:szCs w:val="24"/>
                <w:lang w:val="en-US"/>
              </w:rPr>
            </w:pPr>
            <w:r>
              <w:rPr>
                <w:rFonts w:ascii="Times New Roman" w:hAnsi="Times New Roman" w:cs="Times New Roman"/>
                <w:sz w:val="24"/>
                <w:szCs w:val="24"/>
                <w:lang w:val="en-US"/>
              </w:rPr>
              <w:t>-</w:t>
            </w:r>
          </w:p>
        </w:tc>
        <w:tc>
          <w:tcPr>
            <w:tcW w:w="433" w:type="pct"/>
          </w:tcPr>
          <w:p w:rsidR="005F1210" w:rsidRPr="0071724C" w:rsidRDefault="0071724C" w:rsidP="002223E3">
            <w:pPr>
              <w:jc w:val="both"/>
              <w:rPr>
                <w:rFonts w:ascii="Times New Roman" w:hAnsi="Times New Roman" w:cs="Times New Roman"/>
                <w:sz w:val="24"/>
                <w:szCs w:val="24"/>
                <w:lang w:val="en-US"/>
              </w:rPr>
            </w:pPr>
            <w:r>
              <w:rPr>
                <w:rFonts w:ascii="Times New Roman" w:hAnsi="Times New Roman" w:cs="Times New Roman"/>
                <w:sz w:val="24"/>
                <w:szCs w:val="24"/>
                <w:lang w:val="en-US"/>
              </w:rPr>
              <w:t>-</w:t>
            </w:r>
          </w:p>
        </w:tc>
        <w:tc>
          <w:tcPr>
            <w:tcW w:w="433" w:type="pct"/>
          </w:tcPr>
          <w:p w:rsidR="005F1210" w:rsidRPr="0071724C" w:rsidRDefault="0071724C" w:rsidP="002223E3">
            <w:pPr>
              <w:jc w:val="both"/>
              <w:rPr>
                <w:rFonts w:ascii="Times New Roman" w:hAnsi="Times New Roman" w:cs="Times New Roman"/>
                <w:sz w:val="24"/>
                <w:szCs w:val="24"/>
                <w:lang w:val="en-US"/>
              </w:rPr>
            </w:pPr>
            <w:r>
              <w:rPr>
                <w:rFonts w:ascii="Times New Roman" w:hAnsi="Times New Roman" w:cs="Times New Roman"/>
                <w:sz w:val="24"/>
                <w:szCs w:val="24"/>
                <w:lang w:val="en-US"/>
              </w:rPr>
              <w:t>-</w:t>
            </w:r>
          </w:p>
        </w:tc>
        <w:tc>
          <w:tcPr>
            <w:tcW w:w="360" w:type="pct"/>
          </w:tcPr>
          <w:p w:rsidR="005F1210" w:rsidRPr="0071724C" w:rsidRDefault="0071724C" w:rsidP="002223E3">
            <w:pPr>
              <w:jc w:val="both"/>
              <w:rPr>
                <w:rFonts w:ascii="Times New Roman" w:hAnsi="Times New Roman" w:cs="Times New Roman"/>
                <w:sz w:val="24"/>
                <w:szCs w:val="24"/>
                <w:lang w:val="en-US"/>
              </w:rPr>
            </w:pPr>
            <w:r>
              <w:rPr>
                <w:rFonts w:ascii="Times New Roman" w:hAnsi="Times New Roman" w:cs="Times New Roman"/>
                <w:sz w:val="24"/>
                <w:szCs w:val="24"/>
              </w:rPr>
              <w:t>8</w:t>
            </w:r>
            <w:r>
              <w:rPr>
                <w:rFonts w:ascii="Times New Roman" w:hAnsi="Times New Roman" w:cs="Times New Roman"/>
                <w:sz w:val="24"/>
                <w:szCs w:val="24"/>
                <w:lang w:val="en-US"/>
              </w:rPr>
              <w:t>,15</w:t>
            </w:r>
          </w:p>
        </w:tc>
        <w:tc>
          <w:tcPr>
            <w:tcW w:w="361" w:type="pct"/>
          </w:tcPr>
          <w:p w:rsidR="005F1210" w:rsidRPr="0071724C" w:rsidRDefault="0071724C" w:rsidP="002223E3">
            <w:pPr>
              <w:jc w:val="both"/>
              <w:rPr>
                <w:rFonts w:ascii="Times New Roman" w:hAnsi="Times New Roman" w:cs="Times New Roman"/>
                <w:sz w:val="24"/>
                <w:szCs w:val="24"/>
                <w:lang w:val="en-US"/>
              </w:rPr>
            </w:pPr>
            <w:r>
              <w:rPr>
                <w:rFonts w:ascii="Times New Roman" w:hAnsi="Times New Roman" w:cs="Times New Roman"/>
                <w:sz w:val="24"/>
                <w:szCs w:val="24"/>
                <w:lang w:val="en-US"/>
              </w:rPr>
              <w:t>8,74</w:t>
            </w:r>
          </w:p>
        </w:tc>
        <w:tc>
          <w:tcPr>
            <w:tcW w:w="343" w:type="pct"/>
          </w:tcPr>
          <w:p w:rsidR="005F1210" w:rsidRPr="0071724C" w:rsidRDefault="0071724C" w:rsidP="002223E3">
            <w:pPr>
              <w:jc w:val="both"/>
              <w:rPr>
                <w:rFonts w:ascii="Times New Roman" w:hAnsi="Times New Roman" w:cs="Times New Roman"/>
                <w:sz w:val="24"/>
                <w:szCs w:val="24"/>
                <w:lang w:val="en-US"/>
              </w:rPr>
            </w:pPr>
            <w:r>
              <w:rPr>
                <w:rFonts w:ascii="Times New Roman" w:hAnsi="Times New Roman" w:cs="Times New Roman"/>
                <w:sz w:val="24"/>
                <w:szCs w:val="24"/>
                <w:lang w:val="en-US"/>
              </w:rPr>
              <w:t>9,5</w:t>
            </w:r>
          </w:p>
        </w:tc>
        <w:tc>
          <w:tcPr>
            <w:tcW w:w="917" w:type="pct"/>
          </w:tcPr>
          <w:p w:rsidR="005F1210" w:rsidRPr="0071724C" w:rsidRDefault="0071724C" w:rsidP="002223E3">
            <w:pPr>
              <w:jc w:val="both"/>
              <w:rPr>
                <w:rFonts w:ascii="Times New Roman" w:hAnsi="Times New Roman" w:cs="Times New Roman"/>
                <w:sz w:val="24"/>
                <w:szCs w:val="24"/>
              </w:rPr>
            </w:pPr>
            <w:r>
              <w:rPr>
                <w:rFonts w:ascii="Times New Roman" w:hAnsi="Times New Roman" w:cs="Times New Roman"/>
                <w:sz w:val="24"/>
                <w:szCs w:val="24"/>
              </w:rPr>
              <w:t>Н.д.</w:t>
            </w:r>
          </w:p>
        </w:tc>
      </w:tr>
    </w:tbl>
    <w:p w:rsidR="00084A89" w:rsidRPr="00D17892" w:rsidRDefault="00C230DE" w:rsidP="00084A89">
      <w:pPr>
        <w:spacing w:after="0" w:line="240" w:lineRule="auto"/>
        <w:jc w:val="both"/>
        <w:rPr>
          <w:rFonts w:ascii="Times New Roman" w:hAnsi="Times New Roman" w:cs="Times New Roman"/>
          <w:sz w:val="20"/>
          <w:szCs w:val="20"/>
        </w:rPr>
      </w:pPr>
      <w:r w:rsidRPr="00D17892">
        <w:rPr>
          <w:rFonts w:ascii="Times New Roman" w:hAnsi="Times New Roman" w:cs="Times New Roman"/>
          <w:sz w:val="20"/>
          <w:szCs w:val="20"/>
        </w:rPr>
        <w:t xml:space="preserve">* </w:t>
      </w:r>
      <w:r w:rsidRPr="00D17892">
        <w:rPr>
          <w:rFonts w:ascii="Times New Roman" w:hAnsi="Times New Roman" w:cs="Times New Roman"/>
          <w:sz w:val="20"/>
          <w:szCs w:val="20"/>
          <w:lang w:val="en-US"/>
        </w:rPr>
        <w:t>Q</w:t>
      </w:r>
      <w:r w:rsidRPr="00D17892">
        <w:rPr>
          <w:rFonts w:ascii="Times New Roman" w:hAnsi="Times New Roman" w:cs="Times New Roman"/>
          <w:sz w:val="20"/>
          <w:szCs w:val="20"/>
          <w:vertAlign w:val="subscript"/>
          <w:lang w:val="en-US"/>
        </w:rPr>
        <w:t>c</w:t>
      </w:r>
      <w:r w:rsidRPr="00D17892">
        <w:rPr>
          <w:rFonts w:ascii="Times New Roman" w:hAnsi="Times New Roman" w:cs="Times New Roman"/>
          <w:sz w:val="20"/>
          <w:szCs w:val="20"/>
          <w:vertAlign w:val="superscript"/>
        </w:rPr>
        <w:t xml:space="preserve">н </w:t>
      </w:r>
      <w:r w:rsidRPr="00D17892">
        <w:rPr>
          <w:rFonts w:ascii="Times New Roman" w:hAnsi="Times New Roman" w:cs="Times New Roman"/>
          <w:sz w:val="20"/>
          <w:szCs w:val="20"/>
        </w:rPr>
        <w:t>= 35,6 МДж/м</w:t>
      </w:r>
      <w:r w:rsidRPr="00D17892">
        <w:rPr>
          <w:rFonts w:ascii="Times New Roman" w:hAnsi="Times New Roman" w:cs="Times New Roman"/>
          <w:sz w:val="20"/>
          <w:szCs w:val="20"/>
          <w:vertAlign w:val="superscript"/>
        </w:rPr>
        <w:t>3</w:t>
      </w:r>
      <w:r w:rsidR="00D17892" w:rsidRPr="00D17892">
        <w:rPr>
          <w:rFonts w:ascii="Times New Roman" w:hAnsi="Times New Roman" w:cs="Times New Roman"/>
          <w:sz w:val="20"/>
          <w:szCs w:val="20"/>
        </w:rPr>
        <w:t xml:space="preserve"> </w:t>
      </w:r>
      <w:r w:rsidR="00907FD8">
        <w:rPr>
          <w:rFonts w:ascii="Times New Roman" w:hAnsi="Times New Roman" w:cs="Times New Roman"/>
          <w:sz w:val="20"/>
          <w:szCs w:val="20"/>
        </w:rPr>
        <w:t xml:space="preserve">; </w:t>
      </w:r>
      <w:r w:rsidRPr="00D17892">
        <w:rPr>
          <w:rFonts w:ascii="Times New Roman" w:hAnsi="Times New Roman" w:cs="Times New Roman"/>
          <w:sz w:val="20"/>
          <w:szCs w:val="20"/>
        </w:rPr>
        <w:t xml:space="preserve">** </w:t>
      </w:r>
      <w:r w:rsidRPr="00D17892">
        <w:rPr>
          <w:rFonts w:ascii="Times New Roman" w:hAnsi="Times New Roman" w:cs="Times New Roman"/>
          <w:sz w:val="20"/>
          <w:szCs w:val="20"/>
          <w:lang w:val="en-US"/>
        </w:rPr>
        <w:t>Q</w:t>
      </w:r>
      <w:r w:rsidRPr="00D17892">
        <w:rPr>
          <w:rFonts w:ascii="Times New Roman" w:hAnsi="Times New Roman" w:cs="Times New Roman"/>
          <w:sz w:val="20"/>
          <w:szCs w:val="20"/>
          <w:vertAlign w:val="subscript"/>
          <w:lang w:val="en-US"/>
        </w:rPr>
        <w:t>c</w:t>
      </w:r>
      <w:r w:rsidRPr="00D17892">
        <w:rPr>
          <w:rFonts w:ascii="Times New Roman" w:hAnsi="Times New Roman" w:cs="Times New Roman"/>
          <w:sz w:val="20"/>
          <w:szCs w:val="20"/>
          <w:vertAlign w:val="superscript"/>
        </w:rPr>
        <w:t xml:space="preserve">н </w:t>
      </w:r>
      <w:r w:rsidRPr="00D17892">
        <w:rPr>
          <w:rFonts w:ascii="Times New Roman" w:hAnsi="Times New Roman" w:cs="Times New Roman"/>
          <w:sz w:val="20"/>
          <w:szCs w:val="20"/>
        </w:rPr>
        <w:t>= 34,19 МДж/м</w:t>
      </w:r>
      <w:r w:rsidRPr="00D17892">
        <w:rPr>
          <w:rFonts w:ascii="Times New Roman" w:hAnsi="Times New Roman" w:cs="Times New Roman"/>
          <w:sz w:val="20"/>
          <w:szCs w:val="20"/>
          <w:vertAlign w:val="superscript"/>
        </w:rPr>
        <w:t>3</w:t>
      </w:r>
      <w:r w:rsidR="00907FD8">
        <w:rPr>
          <w:rFonts w:ascii="Times New Roman" w:hAnsi="Times New Roman" w:cs="Times New Roman"/>
          <w:sz w:val="20"/>
          <w:szCs w:val="20"/>
        </w:rPr>
        <w:t xml:space="preserve">  ; </w:t>
      </w:r>
      <w:r w:rsidR="00D17892" w:rsidRPr="00D17892">
        <w:rPr>
          <w:rFonts w:ascii="Times New Roman" w:hAnsi="Times New Roman" w:cs="Times New Roman"/>
          <w:sz w:val="20"/>
          <w:szCs w:val="20"/>
        </w:rPr>
        <w:t xml:space="preserve"> </w:t>
      </w:r>
      <w:r w:rsidR="00C47DF4" w:rsidRPr="00D17892">
        <w:rPr>
          <w:rFonts w:ascii="Times New Roman" w:hAnsi="Times New Roman" w:cs="Times New Roman"/>
          <w:sz w:val="20"/>
          <w:szCs w:val="20"/>
        </w:rPr>
        <w:t>**</w:t>
      </w:r>
      <w:r w:rsidR="00B9531A" w:rsidRPr="00D17892">
        <w:rPr>
          <w:rFonts w:ascii="Times New Roman" w:hAnsi="Times New Roman" w:cs="Times New Roman"/>
          <w:sz w:val="20"/>
          <w:szCs w:val="20"/>
        </w:rPr>
        <w:t>*</w:t>
      </w:r>
      <w:r w:rsidR="00C47DF4" w:rsidRPr="00D17892">
        <w:rPr>
          <w:rFonts w:ascii="Times New Roman" w:hAnsi="Times New Roman" w:cs="Times New Roman"/>
          <w:sz w:val="20"/>
          <w:szCs w:val="20"/>
        </w:rPr>
        <w:t>При температуре уходящих из КУ газов 120</w:t>
      </w:r>
      <w:proofErr w:type="gramStart"/>
      <w:r w:rsidR="00C47DF4" w:rsidRPr="00D17892">
        <w:rPr>
          <w:rFonts w:ascii="Times New Roman" w:hAnsi="Times New Roman" w:cs="Times New Roman"/>
          <w:sz w:val="20"/>
          <w:szCs w:val="20"/>
        </w:rPr>
        <w:t xml:space="preserve"> ˚С</w:t>
      </w:r>
      <w:proofErr w:type="gramEnd"/>
    </w:p>
    <w:p w:rsidR="00B9531A" w:rsidRDefault="00D17892" w:rsidP="00D17892">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Для приведенных выш</w:t>
      </w:r>
      <w:r w:rsidRPr="00D17892">
        <w:rPr>
          <w:rFonts w:ascii="Times New Roman" w:hAnsi="Times New Roman" w:cs="Times New Roman"/>
          <w:sz w:val="24"/>
          <w:szCs w:val="24"/>
        </w:rPr>
        <w:t>е двигателей КПД на режимах 100, 75 и 50% от номинальной мощности рассчитывался исходя из отношения подведённой в процессе горения топлива теплоты к полезной работе при температуре воздуха 0</w:t>
      </w:r>
      <w:proofErr w:type="gramStart"/>
      <w:r w:rsidRPr="00D17892">
        <w:rPr>
          <w:rFonts w:ascii="Times New Roman" w:hAnsi="Times New Roman" w:cs="Times New Roman"/>
          <w:sz w:val="24"/>
          <w:szCs w:val="24"/>
        </w:rPr>
        <w:t>˚С</w:t>
      </w:r>
      <w:proofErr w:type="gramEnd"/>
      <w:r w:rsidRPr="00D17892">
        <w:rPr>
          <w:rFonts w:ascii="Times New Roman" w:hAnsi="Times New Roman" w:cs="Times New Roman"/>
          <w:sz w:val="24"/>
          <w:szCs w:val="24"/>
        </w:rPr>
        <w:t>, для ряда газопоршневых двигателей подведённая теплота определялась из эксплуатационных расходов газа с заданной низшей теплотой сгорания.</w:t>
      </w:r>
    </w:p>
    <w:p w:rsidR="00C47DF4" w:rsidRDefault="00D17892" w:rsidP="00B9531A">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Согласно приведённым </w:t>
      </w:r>
      <w:r w:rsidR="00542F27">
        <w:rPr>
          <w:rFonts w:ascii="Times New Roman" w:hAnsi="Times New Roman" w:cs="Times New Roman"/>
          <w:sz w:val="24"/>
          <w:szCs w:val="24"/>
        </w:rPr>
        <w:t xml:space="preserve"> данным, двигатель-генераторные установки с ГПУ в сегменте мощностей до 10-15 МВт имеют более высокий электрический КПД; с другой сторо</w:t>
      </w:r>
      <w:r w:rsidR="00F23D44">
        <w:rPr>
          <w:rFonts w:ascii="Times New Roman" w:hAnsi="Times New Roman" w:cs="Times New Roman"/>
          <w:sz w:val="24"/>
          <w:szCs w:val="24"/>
        </w:rPr>
        <w:t xml:space="preserve">ны ГТУ позволяют получать </w:t>
      </w:r>
      <w:r w:rsidR="00E27405">
        <w:rPr>
          <w:rFonts w:ascii="Times New Roman" w:hAnsi="Times New Roman" w:cs="Times New Roman"/>
          <w:sz w:val="24"/>
          <w:szCs w:val="24"/>
        </w:rPr>
        <w:t xml:space="preserve">значительно </w:t>
      </w:r>
      <w:r w:rsidR="00F23D44">
        <w:rPr>
          <w:rFonts w:ascii="Times New Roman" w:hAnsi="Times New Roman" w:cs="Times New Roman"/>
          <w:sz w:val="24"/>
          <w:szCs w:val="24"/>
        </w:rPr>
        <w:t>больше</w:t>
      </w:r>
      <w:r w:rsidR="00E27405">
        <w:rPr>
          <w:rFonts w:ascii="Times New Roman" w:hAnsi="Times New Roman" w:cs="Times New Roman"/>
          <w:sz w:val="24"/>
          <w:szCs w:val="24"/>
        </w:rPr>
        <w:t xml:space="preserve"> высокопотенциальной</w:t>
      </w:r>
      <w:r w:rsidR="00F23D44">
        <w:rPr>
          <w:rFonts w:ascii="Times New Roman" w:hAnsi="Times New Roman" w:cs="Times New Roman"/>
          <w:sz w:val="24"/>
          <w:szCs w:val="24"/>
        </w:rPr>
        <w:t xml:space="preserve"> тепловой энергии </w:t>
      </w:r>
      <w:r w:rsidR="00E27405">
        <w:rPr>
          <w:rFonts w:ascii="Times New Roman" w:hAnsi="Times New Roman" w:cs="Times New Roman"/>
          <w:sz w:val="24"/>
          <w:szCs w:val="24"/>
        </w:rPr>
        <w:t>при утилизации выхлопных газов. Это связано с тем, что в тепловом балансе ГПУ значительную долю занимают теплоотводы с охлаждающей жидкостью и маслом, температура которых не выше соответственно 80-100</w:t>
      </w:r>
      <w:proofErr w:type="gramStart"/>
      <w:r w:rsidR="00E27405" w:rsidRPr="00E27405">
        <w:rPr>
          <w:rFonts w:ascii="Times New Roman" w:hAnsi="Times New Roman" w:cs="Times New Roman"/>
          <w:sz w:val="24"/>
          <w:szCs w:val="24"/>
        </w:rPr>
        <w:t xml:space="preserve"> </w:t>
      </w:r>
      <w:r w:rsidR="00E27405">
        <w:rPr>
          <w:rFonts w:ascii="Times New Roman" w:hAnsi="Times New Roman" w:cs="Times New Roman"/>
          <w:sz w:val="24"/>
          <w:szCs w:val="24"/>
        </w:rPr>
        <w:t>˚С</w:t>
      </w:r>
      <w:proofErr w:type="gramEnd"/>
      <w:r w:rsidR="00E27405">
        <w:rPr>
          <w:rFonts w:ascii="Times New Roman" w:hAnsi="Times New Roman" w:cs="Times New Roman"/>
          <w:sz w:val="24"/>
          <w:szCs w:val="24"/>
        </w:rPr>
        <w:t xml:space="preserve"> и 70-75</w:t>
      </w:r>
      <w:r w:rsidR="00E27405" w:rsidRPr="00E27405">
        <w:rPr>
          <w:rFonts w:ascii="Times New Roman" w:hAnsi="Times New Roman" w:cs="Times New Roman"/>
          <w:sz w:val="24"/>
          <w:szCs w:val="24"/>
        </w:rPr>
        <w:t xml:space="preserve"> </w:t>
      </w:r>
      <w:r w:rsidR="00E27405">
        <w:rPr>
          <w:rFonts w:ascii="Times New Roman" w:hAnsi="Times New Roman" w:cs="Times New Roman"/>
          <w:sz w:val="24"/>
          <w:szCs w:val="24"/>
        </w:rPr>
        <w:t>˚С.</w:t>
      </w:r>
      <w:r w:rsidR="00B9531A">
        <w:rPr>
          <w:rFonts w:ascii="Times New Roman" w:hAnsi="Times New Roman" w:cs="Times New Roman"/>
          <w:sz w:val="24"/>
          <w:szCs w:val="24"/>
        </w:rPr>
        <w:t xml:space="preserve"> </w:t>
      </w:r>
    </w:p>
    <w:p w:rsidR="00E44421" w:rsidRDefault="00B9531A" w:rsidP="00D17892">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Коэффициент полезного действия установки зависит от степени использования её мощности. Так как в подавляющем большинстве случаев автономные электростанции работают в условиях значительных колебаний потребления электроэнергии и тепла, этот факт должен учитываться при выборе количества агрегатов, с </w:t>
      </w:r>
      <w:proofErr w:type="gramStart"/>
      <w:r>
        <w:rPr>
          <w:rFonts w:ascii="Times New Roman" w:hAnsi="Times New Roman" w:cs="Times New Roman"/>
          <w:sz w:val="24"/>
          <w:szCs w:val="24"/>
        </w:rPr>
        <w:t>тем</w:t>
      </w:r>
      <w:proofErr w:type="gramEnd"/>
      <w:r>
        <w:rPr>
          <w:rFonts w:ascii="Times New Roman" w:hAnsi="Times New Roman" w:cs="Times New Roman"/>
          <w:sz w:val="24"/>
          <w:szCs w:val="24"/>
        </w:rPr>
        <w:t xml:space="preserve"> чтобы обеспечить их работу в наиболее экономичном режиме</w:t>
      </w:r>
      <w:r w:rsidR="00E67AD2">
        <w:rPr>
          <w:rFonts w:ascii="Times New Roman" w:hAnsi="Times New Roman" w:cs="Times New Roman"/>
          <w:sz w:val="24"/>
          <w:szCs w:val="24"/>
        </w:rPr>
        <w:t>, вводя в работу определённое их количество</w:t>
      </w:r>
      <w:r>
        <w:rPr>
          <w:rFonts w:ascii="Times New Roman" w:hAnsi="Times New Roman" w:cs="Times New Roman"/>
          <w:sz w:val="24"/>
          <w:szCs w:val="24"/>
        </w:rPr>
        <w:t>. В то же время,</w:t>
      </w:r>
      <w:r w:rsidR="00E44421">
        <w:rPr>
          <w:rFonts w:ascii="Times New Roman" w:hAnsi="Times New Roman" w:cs="Times New Roman"/>
          <w:sz w:val="24"/>
          <w:szCs w:val="24"/>
        </w:rPr>
        <w:t xml:space="preserve"> более мощные ГТУ и </w:t>
      </w:r>
      <w:proofErr w:type="gramStart"/>
      <w:r w:rsidR="00E44421">
        <w:rPr>
          <w:rFonts w:ascii="Times New Roman" w:hAnsi="Times New Roman" w:cs="Times New Roman"/>
          <w:sz w:val="24"/>
          <w:szCs w:val="24"/>
        </w:rPr>
        <w:t>ГПУ</w:t>
      </w:r>
      <w:proofErr w:type="gramEnd"/>
      <w:r>
        <w:rPr>
          <w:rFonts w:ascii="Times New Roman" w:hAnsi="Times New Roman" w:cs="Times New Roman"/>
          <w:sz w:val="24"/>
          <w:szCs w:val="24"/>
        </w:rPr>
        <w:t xml:space="preserve"> как правило, имеют более высокий</w:t>
      </w:r>
      <w:r w:rsidR="00E44421">
        <w:rPr>
          <w:rFonts w:ascii="Times New Roman" w:hAnsi="Times New Roman" w:cs="Times New Roman"/>
          <w:sz w:val="24"/>
          <w:szCs w:val="24"/>
        </w:rPr>
        <w:t xml:space="preserve"> электрический</w:t>
      </w:r>
      <w:r>
        <w:rPr>
          <w:rFonts w:ascii="Times New Roman" w:hAnsi="Times New Roman" w:cs="Times New Roman"/>
          <w:sz w:val="24"/>
          <w:szCs w:val="24"/>
        </w:rPr>
        <w:t xml:space="preserve"> КПД</w:t>
      </w:r>
      <w:r w:rsidR="00E44421">
        <w:rPr>
          <w:rFonts w:ascii="Times New Roman" w:hAnsi="Times New Roman" w:cs="Times New Roman"/>
          <w:sz w:val="24"/>
          <w:szCs w:val="24"/>
        </w:rPr>
        <w:t xml:space="preserve"> η</w:t>
      </w:r>
      <w:r w:rsidR="00E44421">
        <w:rPr>
          <w:rFonts w:ascii="Times New Roman" w:hAnsi="Times New Roman" w:cs="Times New Roman"/>
          <w:sz w:val="24"/>
          <w:szCs w:val="24"/>
          <w:vertAlign w:val="subscript"/>
        </w:rPr>
        <w:t>э</w:t>
      </w:r>
      <w:r>
        <w:rPr>
          <w:rFonts w:ascii="Times New Roman" w:hAnsi="Times New Roman" w:cs="Times New Roman"/>
          <w:sz w:val="24"/>
          <w:szCs w:val="24"/>
        </w:rPr>
        <w:t>. Следует отметить также, что многие производители не рекомендуют длительную работу генерирующей установки с нагрузкой меньше половинной.</w:t>
      </w:r>
      <w:r w:rsidR="00D17892" w:rsidRPr="00D17892">
        <w:rPr>
          <w:rFonts w:ascii="Times New Roman" w:hAnsi="Times New Roman" w:cs="Times New Roman"/>
          <w:sz w:val="24"/>
          <w:szCs w:val="24"/>
        </w:rPr>
        <w:t xml:space="preserve"> </w:t>
      </w:r>
      <w:proofErr w:type="gramStart"/>
      <w:r w:rsidR="00E44421">
        <w:rPr>
          <w:rFonts w:ascii="Times New Roman" w:hAnsi="Times New Roman" w:cs="Times New Roman"/>
          <w:sz w:val="24"/>
          <w:szCs w:val="24"/>
        </w:rPr>
        <w:t>График изменения η</w:t>
      </w:r>
      <w:r w:rsidR="00E44421">
        <w:rPr>
          <w:rFonts w:ascii="Times New Roman" w:hAnsi="Times New Roman" w:cs="Times New Roman"/>
          <w:sz w:val="24"/>
          <w:szCs w:val="24"/>
          <w:vertAlign w:val="subscript"/>
        </w:rPr>
        <w:t xml:space="preserve">э </w:t>
      </w:r>
      <w:r w:rsidR="00E44421">
        <w:rPr>
          <w:rFonts w:ascii="Times New Roman" w:hAnsi="Times New Roman" w:cs="Times New Roman"/>
          <w:sz w:val="24"/>
          <w:szCs w:val="24"/>
        </w:rPr>
        <w:t>в зависимост</w:t>
      </w:r>
      <w:r w:rsidR="00D17892">
        <w:rPr>
          <w:rFonts w:ascii="Times New Roman" w:hAnsi="Times New Roman" w:cs="Times New Roman"/>
          <w:sz w:val="24"/>
          <w:szCs w:val="24"/>
        </w:rPr>
        <w:t>и от нагрузки для указанных</w:t>
      </w:r>
      <w:r w:rsidR="00E44421">
        <w:rPr>
          <w:rFonts w:ascii="Times New Roman" w:hAnsi="Times New Roman" w:cs="Times New Roman"/>
          <w:sz w:val="24"/>
          <w:szCs w:val="24"/>
        </w:rPr>
        <w:t xml:space="preserve"> ГТУ приведен на рис.1, то же для ГПУ – на рис.2</w:t>
      </w:r>
      <w:proofErr w:type="gramEnd"/>
    </w:p>
    <w:p w:rsidR="00E44421" w:rsidRPr="00653760" w:rsidRDefault="00E44421" w:rsidP="00B9531A">
      <w:pPr>
        <w:spacing w:after="0" w:line="240" w:lineRule="auto"/>
        <w:ind w:firstLine="720"/>
        <w:jc w:val="both"/>
        <w:rPr>
          <w:rFonts w:ascii="Times New Roman" w:hAnsi="Times New Roman" w:cs="Times New Roman"/>
          <w:sz w:val="24"/>
          <w:szCs w:val="24"/>
        </w:rPr>
      </w:pPr>
    </w:p>
    <w:p w:rsidR="00B9531A" w:rsidRDefault="00CE5B01" w:rsidP="00B9531A">
      <w:pPr>
        <w:spacing w:after="0" w:line="240" w:lineRule="auto"/>
        <w:ind w:firstLine="720"/>
        <w:jc w:val="both"/>
        <w:rPr>
          <w:rFonts w:ascii="Times New Roman" w:hAnsi="Times New Roman" w:cs="Times New Roman"/>
          <w:sz w:val="24"/>
          <w:szCs w:val="24"/>
        </w:rPr>
      </w:pPr>
      <w:r>
        <w:rPr>
          <w:rFonts w:ascii="Times New Roman" w:hAnsi="Times New Roman" w:cs="Times New Roman"/>
          <w:noProof/>
          <w:sz w:val="24"/>
          <w:szCs w:val="24"/>
          <w:lang w:eastAsia="ru-RU"/>
        </w:rPr>
        <w:drawing>
          <wp:inline distT="0" distB="0" distL="0" distR="0">
            <wp:extent cx="4343400" cy="2790825"/>
            <wp:effectExtent l="0" t="0" r="19050" b="9525"/>
            <wp:docPr id="4"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B735B9" w:rsidRPr="008E3C62" w:rsidRDefault="00B735B9" w:rsidP="00B9531A">
      <w:pPr>
        <w:spacing w:after="0" w:line="240" w:lineRule="auto"/>
        <w:ind w:firstLine="720"/>
        <w:jc w:val="both"/>
        <w:rPr>
          <w:rFonts w:ascii="Times New Roman" w:hAnsi="Times New Roman" w:cs="Times New Roman"/>
          <w:b/>
          <w:sz w:val="24"/>
          <w:szCs w:val="24"/>
        </w:rPr>
      </w:pPr>
      <w:r w:rsidRPr="008E3C62">
        <w:rPr>
          <w:rFonts w:ascii="Times New Roman" w:hAnsi="Times New Roman" w:cs="Times New Roman"/>
          <w:b/>
          <w:sz w:val="24"/>
          <w:szCs w:val="24"/>
        </w:rPr>
        <w:t>Рис. 1. Зависимость η</w:t>
      </w:r>
      <w:r w:rsidRPr="008E3C62">
        <w:rPr>
          <w:rFonts w:ascii="Times New Roman" w:hAnsi="Times New Roman" w:cs="Times New Roman"/>
          <w:b/>
          <w:sz w:val="24"/>
          <w:szCs w:val="24"/>
          <w:vertAlign w:val="subscript"/>
        </w:rPr>
        <w:t xml:space="preserve">э </w:t>
      </w:r>
      <w:r w:rsidRPr="008E3C62">
        <w:rPr>
          <w:rFonts w:ascii="Times New Roman" w:hAnsi="Times New Roman" w:cs="Times New Roman"/>
          <w:b/>
          <w:sz w:val="24"/>
          <w:szCs w:val="24"/>
        </w:rPr>
        <w:t xml:space="preserve"> от нагр</w:t>
      </w:r>
      <w:r w:rsidR="00907FD8" w:rsidRPr="008E3C62">
        <w:rPr>
          <w:rFonts w:ascii="Times New Roman" w:hAnsi="Times New Roman" w:cs="Times New Roman"/>
          <w:b/>
          <w:sz w:val="24"/>
          <w:szCs w:val="24"/>
        </w:rPr>
        <w:t>узки для ГТУ</w:t>
      </w:r>
      <w:r w:rsidRPr="008E3C62">
        <w:rPr>
          <w:rFonts w:ascii="Times New Roman" w:hAnsi="Times New Roman" w:cs="Times New Roman"/>
          <w:b/>
          <w:sz w:val="24"/>
          <w:szCs w:val="24"/>
        </w:rPr>
        <w:t xml:space="preserve"> </w:t>
      </w:r>
      <w:r w:rsidRPr="008E3C62">
        <w:rPr>
          <w:rFonts w:ascii="Times New Roman" w:hAnsi="Times New Roman" w:cs="Times New Roman"/>
          <w:b/>
          <w:sz w:val="24"/>
          <w:szCs w:val="24"/>
          <w:lang w:val="en-US"/>
        </w:rPr>
        <w:t>SGT</w:t>
      </w:r>
      <w:r w:rsidRPr="008E3C62">
        <w:rPr>
          <w:rFonts w:ascii="Times New Roman" w:hAnsi="Times New Roman" w:cs="Times New Roman"/>
          <w:b/>
          <w:sz w:val="24"/>
          <w:szCs w:val="24"/>
        </w:rPr>
        <w:t>-100-1</w:t>
      </w:r>
      <w:r w:rsidRPr="008E3C62">
        <w:rPr>
          <w:rFonts w:ascii="Times New Roman" w:hAnsi="Times New Roman" w:cs="Times New Roman"/>
          <w:b/>
          <w:sz w:val="24"/>
          <w:szCs w:val="24"/>
          <w:lang w:val="en-US"/>
        </w:rPr>
        <w:t>S</w:t>
      </w:r>
      <w:r w:rsidRPr="008E3C62">
        <w:rPr>
          <w:rFonts w:ascii="Times New Roman" w:hAnsi="Times New Roman" w:cs="Times New Roman"/>
          <w:b/>
          <w:sz w:val="24"/>
          <w:szCs w:val="24"/>
        </w:rPr>
        <w:t xml:space="preserve">, </w:t>
      </w:r>
      <w:r w:rsidRPr="008E3C62">
        <w:rPr>
          <w:rFonts w:ascii="Times New Roman" w:hAnsi="Times New Roman" w:cs="Times New Roman"/>
          <w:b/>
          <w:sz w:val="24"/>
          <w:szCs w:val="24"/>
          <w:lang w:val="en-US"/>
        </w:rPr>
        <w:t>SGT</w:t>
      </w:r>
      <w:r w:rsidRPr="008E3C62">
        <w:rPr>
          <w:rFonts w:ascii="Times New Roman" w:hAnsi="Times New Roman" w:cs="Times New Roman"/>
          <w:b/>
          <w:sz w:val="24"/>
          <w:szCs w:val="24"/>
        </w:rPr>
        <w:t xml:space="preserve">-300 и </w:t>
      </w:r>
      <w:r w:rsidRPr="008E3C62">
        <w:rPr>
          <w:rFonts w:ascii="Times New Roman" w:hAnsi="Times New Roman" w:cs="Times New Roman"/>
          <w:b/>
          <w:sz w:val="24"/>
          <w:szCs w:val="24"/>
          <w:lang w:val="en-US"/>
        </w:rPr>
        <w:t>SGT</w:t>
      </w:r>
      <w:r w:rsidRPr="008E3C62">
        <w:rPr>
          <w:rFonts w:ascii="Times New Roman" w:hAnsi="Times New Roman" w:cs="Times New Roman"/>
          <w:b/>
          <w:sz w:val="24"/>
          <w:szCs w:val="24"/>
        </w:rPr>
        <w:t>-400.</w:t>
      </w:r>
    </w:p>
    <w:p w:rsidR="00B735B9" w:rsidRDefault="00B735B9" w:rsidP="00B9531A">
      <w:pPr>
        <w:spacing w:after="0" w:line="240" w:lineRule="auto"/>
        <w:ind w:firstLine="720"/>
        <w:jc w:val="both"/>
        <w:rPr>
          <w:rFonts w:ascii="Times New Roman" w:hAnsi="Times New Roman" w:cs="Times New Roman"/>
          <w:sz w:val="24"/>
          <w:szCs w:val="24"/>
        </w:rPr>
      </w:pPr>
      <w:r>
        <w:rPr>
          <w:rFonts w:ascii="Times New Roman" w:hAnsi="Times New Roman" w:cs="Times New Roman"/>
          <w:noProof/>
          <w:sz w:val="24"/>
          <w:szCs w:val="24"/>
          <w:lang w:eastAsia="ru-RU"/>
        </w:rPr>
        <w:lastRenderedPageBreak/>
        <w:drawing>
          <wp:inline distT="0" distB="0" distL="0" distR="0">
            <wp:extent cx="4495800" cy="3038475"/>
            <wp:effectExtent l="0" t="0" r="19050" b="9525"/>
            <wp:docPr id="5" name="Диаграм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F55361" w:rsidRPr="008E3C62" w:rsidRDefault="00F55361" w:rsidP="00B9531A">
      <w:pPr>
        <w:spacing w:after="0" w:line="240" w:lineRule="auto"/>
        <w:ind w:firstLine="720"/>
        <w:jc w:val="both"/>
        <w:rPr>
          <w:rFonts w:ascii="Times New Roman" w:hAnsi="Times New Roman" w:cs="Times New Roman"/>
          <w:b/>
          <w:sz w:val="24"/>
          <w:szCs w:val="24"/>
        </w:rPr>
      </w:pPr>
      <w:r w:rsidRPr="008E3C62">
        <w:rPr>
          <w:rFonts w:ascii="Times New Roman" w:hAnsi="Times New Roman" w:cs="Times New Roman"/>
          <w:b/>
          <w:sz w:val="24"/>
          <w:szCs w:val="24"/>
        </w:rPr>
        <w:t>Рис. 2. Зависимость η</w:t>
      </w:r>
      <w:r w:rsidRPr="008E3C62">
        <w:rPr>
          <w:rFonts w:ascii="Times New Roman" w:hAnsi="Times New Roman" w:cs="Times New Roman"/>
          <w:b/>
          <w:sz w:val="24"/>
          <w:szCs w:val="24"/>
          <w:vertAlign w:val="subscript"/>
        </w:rPr>
        <w:t xml:space="preserve">э </w:t>
      </w:r>
      <w:r w:rsidRPr="008E3C62">
        <w:rPr>
          <w:rFonts w:ascii="Times New Roman" w:hAnsi="Times New Roman" w:cs="Times New Roman"/>
          <w:b/>
          <w:sz w:val="24"/>
          <w:szCs w:val="24"/>
        </w:rPr>
        <w:t xml:space="preserve"> от нагр</w:t>
      </w:r>
      <w:r w:rsidR="00907FD8" w:rsidRPr="008E3C62">
        <w:rPr>
          <w:rFonts w:ascii="Times New Roman" w:hAnsi="Times New Roman" w:cs="Times New Roman"/>
          <w:b/>
          <w:sz w:val="24"/>
          <w:szCs w:val="24"/>
        </w:rPr>
        <w:t>узки для ГПУ</w:t>
      </w:r>
      <w:r w:rsidRPr="008E3C62">
        <w:rPr>
          <w:rFonts w:ascii="Times New Roman" w:hAnsi="Times New Roman" w:cs="Times New Roman"/>
          <w:b/>
          <w:sz w:val="24"/>
          <w:szCs w:val="24"/>
        </w:rPr>
        <w:t xml:space="preserve"> </w:t>
      </w:r>
      <w:r w:rsidRPr="008E3C62">
        <w:rPr>
          <w:rFonts w:ascii="Times New Roman" w:hAnsi="Times New Roman" w:cs="Times New Roman"/>
          <w:b/>
          <w:sz w:val="24"/>
          <w:szCs w:val="24"/>
          <w:lang w:val="en-US"/>
        </w:rPr>
        <w:t>G</w:t>
      </w:r>
      <w:r w:rsidRPr="008E3C62">
        <w:rPr>
          <w:rFonts w:ascii="Times New Roman" w:hAnsi="Times New Roman" w:cs="Times New Roman"/>
          <w:b/>
          <w:sz w:val="24"/>
          <w:szCs w:val="24"/>
        </w:rPr>
        <w:t>3516</w:t>
      </w:r>
      <w:r w:rsidRPr="008E3C62">
        <w:rPr>
          <w:rFonts w:ascii="Times New Roman" w:hAnsi="Times New Roman" w:cs="Times New Roman"/>
          <w:b/>
          <w:sz w:val="24"/>
          <w:szCs w:val="24"/>
          <w:lang w:val="en-US"/>
        </w:rPr>
        <w:t>C</w:t>
      </w:r>
      <w:r w:rsidRPr="008E3C62">
        <w:rPr>
          <w:rFonts w:ascii="Times New Roman" w:hAnsi="Times New Roman" w:cs="Times New Roman"/>
          <w:b/>
          <w:sz w:val="24"/>
          <w:szCs w:val="24"/>
        </w:rPr>
        <w:t xml:space="preserve"> </w:t>
      </w:r>
      <w:r w:rsidRPr="008E3C62">
        <w:rPr>
          <w:rFonts w:ascii="Times New Roman" w:hAnsi="Times New Roman" w:cs="Times New Roman"/>
          <w:b/>
          <w:sz w:val="24"/>
          <w:szCs w:val="24"/>
          <w:lang w:val="en-US"/>
        </w:rPr>
        <w:t>LE</w:t>
      </w:r>
      <w:r w:rsidRPr="008E3C62">
        <w:rPr>
          <w:rFonts w:ascii="Times New Roman" w:hAnsi="Times New Roman" w:cs="Times New Roman"/>
          <w:b/>
          <w:sz w:val="24"/>
          <w:szCs w:val="24"/>
        </w:rPr>
        <w:t xml:space="preserve">, </w:t>
      </w:r>
      <w:r w:rsidRPr="008E3C62">
        <w:rPr>
          <w:rFonts w:ascii="Times New Roman" w:hAnsi="Times New Roman" w:cs="Times New Roman"/>
          <w:b/>
          <w:sz w:val="24"/>
          <w:szCs w:val="24"/>
          <w:lang w:val="en-US"/>
        </w:rPr>
        <w:t>TCG</w:t>
      </w:r>
      <w:r w:rsidRPr="008E3C62">
        <w:rPr>
          <w:rFonts w:ascii="Times New Roman" w:hAnsi="Times New Roman" w:cs="Times New Roman"/>
          <w:b/>
          <w:sz w:val="24"/>
          <w:szCs w:val="24"/>
        </w:rPr>
        <w:t xml:space="preserve"> 2032 </w:t>
      </w:r>
      <w:r w:rsidRPr="008E3C62">
        <w:rPr>
          <w:rFonts w:ascii="Times New Roman" w:hAnsi="Times New Roman" w:cs="Times New Roman"/>
          <w:b/>
          <w:sz w:val="24"/>
          <w:szCs w:val="24"/>
          <w:lang w:val="en-US"/>
        </w:rPr>
        <w:t>V</w:t>
      </w:r>
      <w:r w:rsidRPr="008E3C62">
        <w:rPr>
          <w:rFonts w:ascii="Times New Roman" w:hAnsi="Times New Roman" w:cs="Times New Roman"/>
          <w:b/>
          <w:sz w:val="24"/>
          <w:szCs w:val="24"/>
        </w:rPr>
        <w:t xml:space="preserve">16  и </w:t>
      </w:r>
      <w:r w:rsidRPr="008E3C62">
        <w:rPr>
          <w:rFonts w:ascii="Times New Roman" w:hAnsi="Times New Roman" w:cs="Times New Roman"/>
          <w:b/>
          <w:sz w:val="24"/>
          <w:szCs w:val="24"/>
          <w:lang w:val="en-US"/>
        </w:rPr>
        <w:t>G</w:t>
      </w:r>
      <w:r w:rsidRPr="008E3C62">
        <w:rPr>
          <w:rFonts w:ascii="Times New Roman" w:hAnsi="Times New Roman" w:cs="Times New Roman"/>
          <w:b/>
          <w:sz w:val="24"/>
          <w:szCs w:val="24"/>
        </w:rPr>
        <w:t>16</w:t>
      </w:r>
      <w:r w:rsidRPr="008E3C62">
        <w:rPr>
          <w:rFonts w:ascii="Times New Roman" w:hAnsi="Times New Roman" w:cs="Times New Roman"/>
          <w:b/>
          <w:sz w:val="24"/>
          <w:szCs w:val="24"/>
          <w:lang w:val="en-US"/>
        </w:rPr>
        <w:t>CM</w:t>
      </w:r>
      <w:r w:rsidRPr="008E3C62">
        <w:rPr>
          <w:rFonts w:ascii="Times New Roman" w:hAnsi="Times New Roman" w:cs="Times New Roman"/>
          <w:b/>
          <w:sz w:val="24"/>
          <w:szCs w:val="24"/>
        </w:rPr>
        <w:t>34</w:t>
      </w:r>
    </w:p>
    <w:p w:rsidR="008D2570" w:rsidRDefault="008D2570" w:rsidP="00B9531A">
      <w:pPr>
        <w:spacing w:after="0" w:line="240" w:lineRule="auto"/>
        <w:ind w:firstLine="720"/>
        <w:jc w:val="both"/>
        <w:rPr>
          <w:rFonts w:ascii="Times New Roman" w:hAnsi="Times New Roman" w:cs="Times New Roman"/>
          <w:sz w:val="24"/>
          <w:szCs w:val="24"/>
        </w:rPr>
      </w:pPr>
    </w:p>
    <w:p w:rsidR="0008416A" w:rsidRDefault="0008416A" w:rsidP="00B9531A">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Обобщая результаты построения графиков </w:t>
      </w:r>
      <w:r w:rsidR="00F611E2">
        <w:rPr>
          <w:rFonts w:ascii="Times New Roman" w:hAnsi="Times New Roman" w:cs="Times New Roman"/>
          <w:sz w:val="24"/>
          <w:szCs w:val="24"/>
        </w:rPr>
        <w:t>η</w:t>
      </w:r>
      <w:r w:rsidR="00F611E2">
        <w:rPr>
          <w:rFonts w:ascii="Times New Roman" w:hAnsi="Times New Roman" w:cs="Times New Roman"/>
          <w:sz w:val="24"/>
          <w:szCs w:val="24"/>
          <w:vertAlign w:val="subscript"/>
        </w:rPr>
        <w:t xml:space="preserve">э </w:t>
      </w:r>
      <w:r w:rsidR="00F611E2">
        <w:rPr>
          <w:rFonts w:ascii="Times New Roman" w:hAnsi="Times New Roman" w:cs="Times New Roman"/>
          <w:sz w:val="24"/>
          <w:szCs w:val="24"/>
        </w:rPr>
        <w:t>=</w:t>
      </w:r>
      <w:r w:rsidR="00F611E2">
        <w:rPr>
          <w:rFonts w:ascii="Times New Roman" w:hAnsi="Times New Roman" w:cs="Times New Roman"/>
          <w:sz w:val="24"/>
          <w:szCs w:val="24"/>
          <w:lang w:val="en-US"/>
        </w:rPr>
        <w:t>f</w:t>
      </w:r>
      <w:r w:rsidR="00F611E2" w:rsidRPr="00F611E2">
        <w:rPr>
          <w:rFonts w:ascii="Times New Roman" w:hAnsi="Times New Roman" w:cs="Times New Roman"/>
          <w:sz w:val="24"/>
          <w:szCs w:val="24"/>
        </w:rPr>
        <w:t>(</w:t>
      </w:r>
      <w:r w:rsidR="00F611E2">
        <w:rPr>
          <w:rFonts w:ascii="Times New Roman" w:hAnsi="Times New Roman" w:cs="Times New Roman"/>
          <w:sz w:val="24"/>
          <w:szCs w:val="24"/>
          <w:lang w:val="en-US"/>
        </w:rPr>
        <w:t>N</w:t>
      </w:r>
      <w:r w:rsidR="00F611E2" w:rsidRPr="00F611E2">
        <w:rPr>
          <w:rFonts w:ascii="Times New Roman" w:hAnsi="Times New Roman" w:cs="Times New Roman"/>
          <w:sz w:val="24"/>
          <w:szCs w:val="24"/>
        </w:rPr>
        <w:t>/</w:t>
      </w:r>
      <w:proofErr w:type="gramStart"/>
      <w:r w:rsidR="00F611E2">
        <w:rPr>
          <w:rFonts w:ascii="Times New Roman" w:hAnsi="Times New Roman" w:cs="Times New Roman"/>
          <w:sz w:val="24"/>
          <w:szCs w:val="24"/>
          <w:lang w:val="en-US"/>
        </w:rPr>
        <w:t>N</w:t>
      </w:r>
      <w:proofErr w:type="gramEnd"/>
      <w:r w:rsidR="00F611E2" w:rsidRPr="00F611E2">
        <w:rPr>
          <w:rFonts w:ascii="Times New Roman" w:hAnsi="Times New Roman" w:cs="Times New Roman"/>
          <w:sz w:val="24"/>
          <w:szCs w:val="24"/>
          <w:vertAlign w:val="subscript"/>
        </w:rPr>
        <w:t>ном</w:t>
      </w:r>
      <w:r w:rsidR="00F611E2">
        <w:rPr>
          <w:rFonts w:ascii="Times New Roman" w:hAnsi="Times New Roman" w:cs="Times New Roman"/>
          <w:sz w:val="24"/>
          <w:szCs w:val="24"/>
        </w:rPr>
        <w:t>), следует отметить что:</w:t>
      </w:r>
    </w:p>
    <w:p w:rsidR="00FC341B" w:rsidRDefault="00FC341B" w:rsidP="00B9531A">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КПД как ГТУ, так и ГПУ, падает при снижении нагрузки со 100% до 50% </w:t>
      </w:r>
      <w:proofErr w:type="gramStart"/>
      <w:r>
        <w:rPr>
          <w:rFonts w:ascii="Times New Roman" w:hAnsi="Times New Roman" w:cs="Times New Roman"/>
          <w:sz w:val="24"/>
          <w:szCs w:val="24"/>
          <w:lang w:val="en-US"/>
        </w:rPr>
        <w:t>N</w:t>
      </w:r>
      <w:proofErr w:type="gramEnd"/>
      <w:r w:rsidRPr="00F611E2">
        <w:rPr>
          <w:rFonts w:ascii="Times New Roman" w:hAnsi="Times New Roman" w:cs="Times New Roman"/>
          <w:sz w:val="24"/>
          <w:szCs w:val="24"/>
          <w:vertAlign w:val="subscript"/>
        </w:rPr>
        <w:t>ном</w:t>
      </w:r>
    </w:p>
    <w:p w:rsidR="00F611E2" w:rsidRDefault="00F611E2" w:rsidP="00B9531A">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для газопоршневых установок характерно в целом менее резкое падение η</w:t>
      </w:r>
      <w:r>
        <w:rPr>
          <w:rFonts w:ascii="Times New Roman" w:hAnsi="Times New Roman" w:cs="Times New Roman"/>
          <w:sz w:val="24"/>
          <w:szCs w:val="24"/>
          <w:vertAlign w:val="subscript"/>
        </w:rPr>
        <w:t xml:space="preserve">э </w:t>
      </w:r>
      <w:r>
        <w:rPr>
          <w:rFonts w:ascii="Times New Roman" w:hAnsi="Times New Roman" w:cs="Times New Roman"/>
          <w:sz w:val="24"/>
          <w:szCs w:val="24"/>
        </w:rPr>
        <w:t xml:space="preserve">при снижении </w:t>
      </w:r>
      <w:r>
        <w:rPr>
          <w:rFonts w:ascii="Times New Roman" w:hAnsi="Times New Roman" w:cs="Times New Roman"/>
          <w:sz w:val="24"/>
          <w:szCs w:val="24"/>
          <w:lang w:val="en-US"/>
        </w:rPr>
        <w:t>N</w:t>
      </w:r>
      <w:r w:rsidRPr="00F611E2">
        <w:rPr>
          <w:rFonts w:ascii="Times New Roman" w:hAnsi="Times New Roman" w:cs="Times New Roman"/>
          <w:sz w:val="24"/>
          <w:szCs w:val="24"/>
        </w:rPr>
        <w:t>/</w:t>
      </w:r>
      <w:proofErr w:type="gramStart"/>
      <w:r>
        <w:rPr>
          <w:rFonts w:ascii="Times New Roman" w:hAnsi="Times New Roman" w:cs="Times New Roman"/>
          <w:sz w:val="24"/>
          <w:szCs w:val="24"/>
          <w:lang w:val="en-US"/>
        </w:rPr>
        <w:t>N</w:t>
      </w:r>
      <w:proofErr w:type="gramEnd"/>
      <w:r w:rsidRPr="00F611E2">
        <w:rPr>
          <w:rFonts w:ascii="Times New Roman" w:hAnsi="Times New Roman" w:cs="Times New Roman"/>
          <w:sz w:val="24"/>
          <w:szCs w:val="24"/>
          <w:vertAlign w:val="subscript"/>
        </w:rPr>
        <w:t>ном</w:t>
      </w:r>
      <w:r>
        <w:rPr>
          <w:rFonts w:ascii="Times New Roman" w:hAnsi="Times New Roman" w:cs="Times New Roman"/>
          <w:sz w:val="24"/>
          <w:szCs w:val="24"/>
        </w:rPr>
        <w:t xml:space="preserve">. Это в меньшей степени касается установки с двигателем </w:t>
      </w:r>
      <w:r>
        <w:rPr>
          <w:rFonts w:ascii="Times New Roman" w:hAnsi="Times New Roman" w:cs="Times New Roman"/>
          <w:sz w:val="24"/>
          <w:szCs w:val="24"/>
          <w:lang w:val="en-US"/>
        </w:rPr>
        <w:t>G</w:t>
      </w:r>
      <w:r w:rsidRPr="00F611E2">
        <w:rPr>
          <w:rFonts w:ascii="Times New Roman" w:hAnsi="Times New Roman" w:cs="Times New Roman"/>
          <w:sz w:val="24"/>
          <w:szCs w:val="24"/>
        </w:rPr>
        <w:t>16</w:t>
      </w:r>
      <w:r>
        <w:rPr>
          <w:rFonts w:ascii="Times New Roman" w:hAnsi="Times New Roman" w:cs="Times New Roman"/>
          <w:sz w:val="24"/>
          <w:szCs w:val="24"/>
          <w:lang w:val="en-US"/>
        </w:rPr>
        <w:t>CM</w:t>
      </w:r>
      <w:r w:rsidRPr="00F611E2">
        <w:rPr>
          <w:rFonts w:ascii="Times New Roman" w:hAnsi="Times New Roman" w:cs="Times New Roman"/>
          <w:sz w:val="24"/>
          <w:szCs w:val="24"/>
        </w:rPr>
        <w:t>34</w:t>
      </w:r>
      <w:r>
        <w:rPr>
          <w:rFonts w:ascii="Times New Roman" w:hAnsi="Times New Roman" w:cs="Times New Roman"/>
          <w:sz w:val="24"/>
          <w:szCs w:val="24"/>
        </w:rPr>
        <w:t xml:space="preserve">, который является модернизацией судового дизельного двигателя с характерным смещением наивыгоднейших режимов работы к режимам, близким к </w:t>
      </w:r>
      <w:proofErr w:type="gramStart"/>
      <w:r>
        <w:rPr>
          <w:rFonts w:ascii="Times New Roman" w:hAnsi="Times New Roman" w:cs="Times New Roman"/>
          <w:sz w:val="24"/>
          <w:szCs w:val="24"/>
          <w:lang w:val="en-US"/>
        </w:rPr>
        <w:t>N</w:t>
      </w:r>
      <w:proofErr w:type="gramEnd"/>
      <w:r>
        <w:rPr>
          <w:rFonts w:ascii="Times New Roman" w:hAnsi="Times New Roman" w:cs="Times New Roman"/>
          <w:sz w:val="24"/>
          <w:szCs w:val="24"/>
          <w:vertAlign w:val="subscript"/>
        </w:rPr>
        <w:t>ном</w:t>
      </w:r>
      <w:r>
        <w:rPr>
          <w:rFonts w:ascii="Times New Roman" w:hAnsi="Times New Roman" w:cs="Times New Roman"/>
          <w:sz w:val="24"/>
          <w:szCs w:val="24"/>
        </w:rPr>
        <w:t xml:space="preserve">. </w:t>
      </w:r>
      <w:r w:rsidR="00E67AD2">
        <w:rPr>
          <w:rFonts w:ascii="Times New Roman" w:hAnsi="Times New Roman" w:cs="Times New Roman"/>
          <w:sz w:val="24"/>
          <w:szCs w:val="24"/>
        </w:rPr>
        <w:t>В связи с последним фактом, при сооружении ГПЭС следует ориентироваться на двигатели, изначально разрабатывавшиеся для работы в составе источника электроснабжения.</w:t>
      </w:r>
    </w:p>
    <w:p w:rsidR="00F611E2" w:rsidRDefault="00F611E2" w:rsidP="00B9531A">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установка большого количества агрегатов малой мощности на электростанции с ГПУ не имеет смысла</w:t>
      </w:r>
      <w:r w:rsidR="00FC341B">
        <w:rPr>
          <w:rFonts w:ascii="Times New Roman" w:hAnsi="Times New Roman" w:cs="Times New Roman"/>
          <w:sz w:val="24"/>
          <w:szCs w:val="24"/>
        </w:rPr>
        <w:t>, ввиду того что η</w:t>
      </w:r>
      <w:r w:rsidR="00FC341B">
        <w:rPr>
          <w:rFonts w:ascii="Times New Roman" w:hAnsi="Times New Roman" w:cs="Times New Roman"/>
          <w:sz w:val="24"/>
          <w:szCs w:val="24"/>
          <w:vertAlign w:val="subscript"/>
        </w:rPr>
        <w:t xml:space="preserve">э </w:t>
      </w:r>
      <w:r w:rsidR="00FC341B">
        <w:rPr>
          <w:rFonts w:ascii="Times New Roman" w:hAnsi="Times New Roman" w:cs="Times New Roman"/>
          <w:sz w:val="24"/>
          <w:szCs w:val="24"/>
        </w:rPr>
        <w:t xml:space="preserve"> установок с крупными среднеоборотными газовыми двигателями даже при половинной нагрузке выше η</w:t>
      </w:r>
      <w:r w:rsidR="00FC341B">
        <w:rPr>
          <w:rFonts w:ascii="Times New Roman" w:hAnsi="Times New Roman" w:cs="Times New Roman"/>
          <w:sz w:val="24"/>
          <w:szCs w:val="24"/>
          <w:vertAlign w:val="subscript"/>
        </w:rPr>
        <w:t xml:space="preserve">э </w:t>
      </w:r>
      <w:r w:rsidR="00FC341B">
        <w:rPr>
          <w:rFonts w:ascii="Times New Roman" w:hAnsi="Times New Roman" w:cs="Times New Roman"/>
          <w:sz w:val="24"/>
          <w:szCs w:val="24"/>
        </w:rPr>
        <w:t xml:space="preserve"> высокооборотных двигателей меньшей мощности на оптимальных режимах, близких к </w:t>
      </w:r>
      <w:proofErr w:type="gramStart"/>
      <w:r w:rsidR="00FC341B">
        <w:rPr>
          <w:rFonts w:ascii="Times New Roman" w:hAnsi="Times New Roman" w:cs="Times New Roman"/>
          <w:sz w:val="24"/>
          <w:szCs w:val="24"/>
          <w:lang w:val="en-US"/>
        </w:rPr>
        <w:t>N</w:t>
      </w:r>
      <w:proofErr w:type="gramEnd"/>
      <w:r w:rsidR="00FC341B">
        <w:rPr>
          <w:rFonts w:ascii="Times New Roman" w:hAnsi="Times New Roman" w:cs="Times New Roman"/>
          <w:sz w:val="24"/>
          <w:szCs w:val="24"/>
          <w:vertAlign w:val="subscript"/>
        </w:rPr>
        <w:t>ном</w:t>
      </w:r>
      <w:r w:rsidR="00FC341B">
        <w:rPr>
          <w:rFonts w:ascii="Times New Roman" w:hAnsi="Times New Roman" w:cs="Times New Roman"/>
          <w:sz w:val="24"/>
          <w:szCs w:val="24"/>
        </w:rPr>
        <w:t xml:space="preserve">. </w:t>
      </w:r>
      <w:proofErr w:type="gramStart"/>
      <w:r w:rsidR="00FC341B">
        <w:rPr>
          <w:rFonts w:ascii="Times New Roman" w:hAnsi="Times New Roman" w:cs="Times New Roman"/>
          <w:sz w:val="24"/>
          <w:szCs w:val="24"/>
        </w:rPr>
        <w:t>Так, при</w:t>
      </w:r>
      <w:r w:rsidR="00E67AD2">
        <w:rPr>
          <w:rFonts w:ascii="Times New Roman" w:hAnsi="Times New Roman" w:cs="Times New Roman"/>
          <w:sz w:val="24"/>
          <w:szCs w:val="24"/>
        </w:rPr>
        <w:t xml:space="preserve"> суточном</w:t>
      </w:r>
      <w:r w:rsidR="00FC341B">
        <w:rPr>
          <w:rFonts w:ascii="Times New Roman" w:hAnsi="Times New Roman" w:cs="Times New Roman"/>
          <w:sz w:val="24"/>
          <w:szCs w:val="24"/>
        </w:rPr>
        <w:t xml:space="preserve"> коэффициенте неравномерности </w:t>
      </w:r>
      <w:r w:rsidR="00E67AD2">
        <w:rPr>
          <w:rFonts w:ascii="Times New Roman" w:hAnsi="Times New Roman" w:cs="Times New Roman"/>
          <w:sz w:val="24"/>
          <w:szCs w:val="24"/>
        </w:rPr>
        <w:t xml:space="preserve">(отношение минимальной суточной нагрузки к максимальной) 0,35 и сезонном 0,8, установка на станции мощностью 8000кВт двух двигателей </w:t>
      </w:r>
      <w:r w:rsidR="00E67AD2">
        <w:rPr>
          <w:rFonts w:ascii="Times New Roman" w:hAnsi="Times New Roman" w:cs="Times New Roman"/>
          <w:sz w:val="24"/>
          <w:szCs w:val="24"/>
          <w:lang w:val="en-US"/>
        </w:rPr>
        <w:t>TCG</w:t>
      </w:r>
      <w:r w:rsidR="00E67AD2" w:rsidRPr="00E67AD2">
        <w:rPr>
          <w:rFonts w:ascii="Times New Roman" w:hAnsi="Times New Roman" w:cs="Times New Roman"/>
          <w:sz w:val="24"/>
          <w:szCs w:val="24"/>
        </w:rPr>
        <w:t xml:space="preserve"> 2032 </w:t>
      </w:r>
      <w:r w:rsidR="00E67AD2">
        <w:rPr>
          <w:rFonts w:ascii="Times New Roman" w:hAnsi="Times New Roman" w:cs="Times New Roman"/>
          <w:sz w:val="24"/>
          <w:szCs w:val="24"/>
          <w:lang w:val="en-US"/>
        </w:rPr>
        <w:t>V</w:t>
      </w:r>
      <w:r w:rsidR="00E67AD2" w:rsidRPr="00E67AD2">
        <w:rPr>
          <w:rFonts w:ascii="Times New Roman" w:hAnsi="Times New Roman" w:cs="Times New Roman"/>
          <w:sz w:val="24"/>
          <w:szCs w:val="24"/>
        </w:rPr>
        <w:t xml:space="preserve">16 </w:t>
      </w:r>
      <w:r w:rsidR="00E67AD2">
        <w:rPr>
          <w:rFonts w:ascii="Times New Roman" w:hAnsi="Times New Roman" w:cs="Times New Roman"/>
          <w:sz w:val="24"/>
          <w:szCs w:val="24"/>
        </w:rPr>
        <w:t xml:space="preserve">приведёт к меньшим затратам на топливо по сравнению с установкой пяти двигателей </w:t>
      </w:r>
      <w:r w:rsidR="00E67AD2">
        <w:rPr>
          <w:rFonts w:ascii="Times New Roman" w:hAnsi="Times New Roman" w:cs="Times New Roman"/>
          <w:sz w:val="24"/>
          <w:szCs w:val="24"/>
          <w:lang w:val="en-US"/>
        </w:rPr>
        <w:t>G</w:t>
      </w:r>
      <w:r w:rsidR="00E67AD2" w:rsidRPr="00F55361">
        <w:rPr>
          <w:rFonts w:ascii="Times New Roman" w:hAnsi="Times New Roman" w:cs="Times New Roman"/>
          <w:sz w:val="24"/>
          <w:szCs w:val="24"/>
        </w:rPr>
        <w:t>3516</w:t>
      </w:r>
      <w:r w:rsidR="00E67AD2">
        <w:rPr>
          <w:rFonts w:ascii="Times New Roman" w:hAnsi="Times New Roman" w:cs="Times New Roman"/>
          <w:sz w:val="24"/>
          <w:szCs w:val="24"/>
          <w:lang w:val="en-US"/>
        </w:rPr>
        <w:t>C</w:t>
      </w:r>
      <w:r w:rsidR="00E67AD2" w:rsidRPr="00F55361">
        <w:rPr>
          <w:rFonts w:ascii="Times New Roman" w:hAnsi="Times New Roman" w:cs="Times New Roman"/>
          <w:sz w:val="24"/>
          <w:szCs w:val="24"/>
        </w:rPr>
        <w:t xml:space="preserve"> </w:t>
      </w:r>
      <w:r w:rsidR="00E67AD2">
        <w:rPr>
          <w:rFonts w:ascii="Times New Roman" w:hAnsi="Times New Roman" w:cs="Times New Roman"/>
          <w:sz w:val="24"/>
          <w:szCs w:val="24"/>
          <w:lang w:val="en-US"/>
        </w:rPr>
        <w:t>LE</w:t>
      </w:r>
      <w:r w:rsidR="00E67AD2">
        <w:rPr>
          <w:rFonts w:ascii="Times New Roman" w:hAnsi="Times New Roman" w:cs="Times New Roman"/>
          <w:sz w:val="24"/>
          <w:szCs w:val="24"/>
        </w:rPr>
        <w:t>.</w:t>
      </w:r>
      <w:proofErr w:type="gramEnd"/>
    </w:p>
    <w:p w:rsidR="00505848" w:rsidRDefault="00505848" w:rsidP="00B9531A">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установка большего числа агрегатов меньшей мощности на ГТЭС оправдана при значительной неравномерности потр</w:t>
      </w:r>
      <w:r w:rsidR="009725D9">
        <w:rPr>
          <w:rFonts w:ascii="Times New Roman" w:hAnsi="Times New Roman" w:cs="Times New Roman"/>
          <w:sz w:val="24"/>
          <w:szCs w:val="24"/>
        </w:rPr>
        <w:t>ебления электроэнергии.</w:t>
      </w:r>
    </w:p>
    <w:p w:rsidR="00AD0389" w:rsidRDefault="0013057A" w:rsidP="00733242">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Как уже отмечалось выше, </w:t>
      </w:r>
      <w:r w:rsidR="00733242">
        <w:rPr>
          <w:rFonts w:ascii="Times New Roman" w:hAnsi="Times New Roman" w:cs="Times New Roman"/>
          <w:sz w:val="24"/>
          <w:szCs w:val="24"/>
        </w:rPr>
        <w:t>особенностью газотурбинных установок является высокий тепловой потенциал уходящих газов, которые можно полезно использовать для выработки пара в котле-утилизаторе, в том числе для привода паровой турбины. В</w:t>
      </w:r>
      <w:r w:rsidR="00CD1FCA" w:rsidRPr="00EC65A3">
        <w:rPr>
          <w:rFonts w:ascii="Times New Roman" w:hAnsi="Times New Roman" w:cs="Times New Roman"/>
          <w:sz w:val="24"/>
          <w:szCs w:val="24"/>
        </w:rPr>
        <w:t xml:space="preserve"> последнее время в «большой энергетике» находят всё более широкое распространение парогазовые установки, работающие по бинарному циклу. Электрический КПД наиболее крупных и современных из них достигает 55-60%</w:t>
      </w:r>
      <w:r w:rsidR="00C0317D" w:rsidRPr="00EC65A3">
        <w:rPr>
          <w:rFonts w:ascii="Times New Roman" w:hAnsi="Times New Roman" w:cs="Times New Roman"/>
          <w:sz w:val="24"/>
          <w:szCs w:val="24"/>
        </w:rPr>
        <w:t xml:space="preserve">, что превышает КПД базовой ГТУ примерно на 50%. </w:t>
      </w:r>
      <w:r w:rsidR="00CD1FCA" w:rsidRPr="00EC65A3">
        <w:rPr>
          <w:rFonts w:ascii="Times New Roman" w:hAnsi="Times New Roman" w:cs="Times New Roman"/>
          <w:sz w:val="24"/>
          <w:szCs w:val="24"/>
        </w:rPr>
        <w:t xml:space="preserve"> Для достижения таких значений КПД </w:t>
      </w:r>
      <w:r w:rsidR="00C0317D" w:rsidRPr="00EC65A3">
        <w:rPr>
          <w:rFonts w:ascii="Times New Roman" w:hAnsi="Times New Roman" w:cs="Times New Roman"/>
          <w:sz w:val="24"/>
          <w:szCs w:val="24"/>
        </w:rPr>
        <w:t xml:space="preserve">в их составе </w:t>
      </w:r>
      <w:r w:rsidR="00CD1FCA" w:rsidRPr="00EC65A3">
        <w:rPr>
          <w:rFonts w:ascii="Times New Roman" w:hAnsi="Times New Roman" w:cs="Times New Roman"/>
          <w:sz w:val="24"/>
          <w:szCs w:val="24"/>
        </w:rPr>
        <w:t xml:space="preserve">используются высокотехнологичные </w:t>
      </w:r>
      <w:r w:rsidR="00C0317D" w:rsidRPr="00EC65A3">
        <w:rPr>
          <w:rFonts w:ascii="Times New Roman" w:hAnsi="Times New Roman" w:cs="Times New Roman"/>
          <w:sz w:val="24"/>
          <w:szCs w:val="24"/>
        </w:rPr>
        <w:t>ГТУ с температурами газов перед турбиной д</w:t>
      </w:r>
      <w:r w:rsidR="00A65510">
        <w:rPr>
          <w:rFonts w:ascii="Times New Roman" w:hAnsi="Times New Roman" w:cs="Times New Roman"/>
          <w:sz w:val="24"/>
          <w:szCs w:val="24"/>
        </w:rPr>
        <w:t>о 1300-1400</w:t>
      </w:r>
      <w:proofErr w:type="gramStart"/>
      <w:r w:rsidR="00A65510">
        <w:rPr>
          <w:rFonts w:ascii="Times New Roman" w:hAnsi="Times New Roman" w:cs="Times New Roman"/>
          <w:sz w:val="24"/>
          <w:szCs w:val="24"/>
        </w:rPr>
        <w:t>°С</w:t>
      </w:r>
      <w:proofErr w:type="gramEnd"/>
      <w:r w:rsidR="00A65510">
        <w:rPr>
          <w:rFonts w:ascii="Times New Roman" w:hAnsi="Times New Roman" w:cs="Times New Roman"/>
          <w:sz w:val="24"/>
          <w:szCs w:val="24"/>
        </w:rPr>
        <w:t xml:space="preserve"> </w:t>
      </w:r>
      <w:r w:rsidR="00C0317D" w:rsidRPr="00EC65A3">
        <w:rPr>
          <w:rFonts w:ascii="Times New Roman" w:hAnsi="Times New Roman" w:cs="Times New Roman"/>
          <w:sz w:val="24"/>
          <w:szCs w:val="24"/>
        </w:rPr>
        <w:t>и выше 600°С на выходе из турбины, что позволяет получать перегретый пар высоких параметров для паровой турбины</w:t>
      </w:r>
      <w:r w:rsidR="00E27307" w:rsidRPr="00EC65A3">
        <w:rPr>
          <w:rFonts w:ascii="Times New Roman" w:hAnsi="Times New Roman" w:cs="Times New Roman"/>
          <w:sz w:val="24"/>
          <w:szCs w:val="24"/>
        </w:rPr>
        <w:t xml:space="preserve">, для работы последней с </w:t>
      </w:r>
      <w:r w:rsidR="00ED5D76" w:rsidRPr="00EC65A3">
        <w:rPr>
          <w:rFonts w:ascii="Times New Roman" w:hAnsi="Times New Roman" w:cs="Times New Roman"/>
          <w:sz w:val="24"/>
          <w:szCs w:val="24"/>
        </w:rPr>
        <w:t xml:space="preserve">тепловым </w:t>
      </w:r>
      <w:r w:rsidR="00E27307" w:rsidRPr="00EC65A3">
        <w:rPr>
          <w:rFonts w:ascii="Times New Roman" w:hAnsi="Times New Roman" w:cs="Times New Roman"/>
          <w:sz w:val="24"/>
          <w:szCs w:val="24"/>
        </w:rPr>
        <w:t xml:space="preserve">КПД </w:t>
      </w:r>
      <w:r w:rsidR="000B629F" w:rsidRPr="00EC65A3">
        <w:rPr>
          <w:rFonts w:ascii="Times New Roman" w:hAnsi="Times New Roman" w:cs="Times New Roman"/>
          <w:sz w:val="24"/>
          <w:szCs w:val="24"/>
        </w:rPr>
        <w:t xml:space="preserve"> около 35</w:t>
      </w:r>
      <w:r w:rsidR="00E27307" w:rsidRPr="00EC65A3">
        <w:rPr>
          <w:rFonts w:ascii="Times New Roman" w:hAnsi="Times New Roman" w:cs="Times New Roman"/>
          <w:sz w:val="24"/>
          <w:szCs w:val="24"/>
        </w:rPr>
        <w:t>%</w:t>
      </w:r>
      <w:r w:rsidR="00C0317D" w:rsidRPr="00EC65A3">
        <w:rPr>
          <w:rFonts w:ascii="Times New Roman" w:hAnsi="Times New Roman" w:cs="Times New Roman"/>
          <w:sz w:val="24"/>
          <w:szCs w:val="24"/>
        </w:rPr>
        <w:t xml:space="preserve">. Однако в сегменте мощности до 10МВт ПГУ </w:t>
      </w:r>
      <w:r w:rsidR="00733242">
        <w:rPr>
          <w:rFonts w:ascii="Times New Roman" w:hAnsi="Times New Roman" w:cs="Times New Roman"/>
          <w:sz w:val="24"/>
          <w:szCs w:val="24"/>
        </w:rPr>
        <w:t xml:space="preserve">до настоящего времени </w:t>
      </w:r>
      <w:r w:rsidR="00C0317D" w:rsidRPr="00EC65A3">
        <w:rPr>
          <w:rFonts w:ascii="Times New Roman" w:hAnsi="Times New Roman" w:cs="Times New Roman"/>
          <w:sz w:val="24"/>
          <w:szCs w:val="24"/>
        </w:rPr>
        <w:t xml:space="preserve">не получили широкого распространения. В первую очередь связано это с тем, что температура уходящих газов ГТУ такого класса </w:t>
      </w:r>
      <w:r w:rsidR="00E27307" w:rsidRPr="00EC65A3">
        <w:rPr>
          <w:rFonts w:ascii="Times New Roman" w:hAnsi="Times New Roman" w:cs="Times New Roman"/>
          <w:sz w:val="24"/>
          <w:szCs w:val="24"/>
        </w:rPr>
        <w:t>мощности относител</w:t>
      </w:r>
      <w:r w:rsidR="00ED5D76" w:rsidRPr="00EC65A3">
        <w:rPr>
          <w:rFonts w:ascii="Times New Roman" w:hAnsi="Times New Roman" w:cs="Times New Roman"/>
          <w:sz w:val="24"/>
          <w:szCs w:val="24"/>
        </w:rPr>
        <w:t>ьно невелика и составляет обычно 440-50</w:t>
      </w:r>
      <w:r w:rsidR="00E27307" w:rsidRPr="00EC65A3">
        <w:rPr>
          <w:rFonts w:ascii="Times New Roman" w:hAnsi="Times New Roman" w:cs="Times New Roman"/>
          <w:sz w:val="24"/>
          <w:szCs w:val="24"/>
        </w:rPr>
        <w:t>0°</w:t>
      </w:r>
      <w:proofErr w:type="gramStart"/>
      <w:r w:rsidR="00E27307" w:rsidRPr="00EC65A3">
        <w:rPr>
          <w:rFonts w:ascii="Times New Roman" w:hAnsi="Times New Roman" w:cs="Times New Roman"/>
          <w:sz w:val="24"/>
          <w:szCs w:val="24"/>
        </w:rPr>
        <w:t>С.</w:t>
      </w:r>
      <w:proofErr w:type="gramEnd"/>
      <w:r w:rsidR="00E27307" w:rsidRPr="00EC65A3">
        <w:rPr>
          <w:rFonts w:ascii="Times New Roman" w:hAnsi="Times New Roman" w:cs="Times New Roman"/>
          <w:sz w:val="24"/>
          <w:szCs w:val="24"/>
        </w:rPr>
        <w:t xml:space="preserve"> Поэтому пар высоких параметров получить не представляется возможным. Работа же ПТУ на паре низких параметров приводит к сравнительно </w:t>
      </w:r>
      <w:r w:rsidR="00E27307" w:rsidRPr="00EC65A3">
        <w:rPr>
          <w:rFonts w:ascii="Times New Roman" w:hAnsi="Times New Roman" w:cs="Times New Roman"/>
          <w:sz w:val="24"/>
          <w:szCs w:val="24"/>
        </w:rPr>
        <w:lastRenderedPageBreak/>
        <w:t>невысокому повышению КПД при значительном увеличении капитальных</w:t>
      </w:r>
      <w:r w:rsidR="00075E43">
        <w:rPr>
          <w:rFonts w:ascii="Times New Roman" w:hAnsi="Times New Roman" w:cs="Times New Roman"/>
          <w:sz w:val="24"/>
          <w:szCs w:val="24"/>
        </w:rPr>
        <w:t xml:space="preserve"> вложений в энергоустановку. Согласно расчёта, произведённым автором</w:t>
      </w:r>
      <w:r w:rsidR="00E27307" w:rsidRPr="00EC65A3">
        <w:rPr>
          <w:rFonts w:ascii="Times New Roman" w:hAnsi="Times New Roman" w:cs="Times New Roman"/>
          <w:sz w:val="24"/>
          <w:szCs w:val="24"/>
        </w:rPr>
        <w:t>, паровая турбина с начальными параметрами пара Т=430°С, Р=3,43Мпа и механическим КПД 80%, имеет тепловой КПД 18,6%.</w:t>
      </w:r>
      <w:r w:rsidR="00711866" w:rsidRPr="00EC65A3">
        <w:rPr>
          <w:rFonts w:ascii="Times New Roman" w:hAnsi="Times New Roman" w:cs="Times New Roman"/>
          <w:sz w:val="24"/>
          <w:szCs w:val="24"/>
        </w:rPr>
        <w:t xml:space="preserve"> </w:t>
      </w:r>
      <w:r w:rsidR="00733242">
        <w:rPr>
          <w:rFonts w:ascii="Times New Roman" w:hAnsi="Times New Roman" w:cs="Times New Roman"/>
          <w:sz w:val="24"/>
          <w:szCs w:val="24"/>
        </w:rPr>
        <w:t xml:space="preserve"> </w:t>
      </w:r>
      <w:r w:rsidR="00AD0389" w:rsidRPr="00EC65A3">
        <w:rPr>
          <w:rFonts w:ascii="Times New Roman" w:hAnsi="Times New Roman" w:cs="Times New Roman"/>
          <w:sz w:val="24"/>
          <w:szCs w:val="24"/>
        </w:rPr>
        <w:t>Тем не менее, появление в сегменте малой мощности высокотемпературных газовых турбин с температурой уходящих газов до 530-550</w:t>
      </w:r>
      <w:proofErr w:type="gramStart"/>
      <w:r w:rsidR="00AD0389" w:rsidRPr="00EC65A3">
        <w:rPr>
          <w:rFonts w:ascii="Times New Roman" w:hAnsi="Times New Roman" w:cs="Times New Roman"/>
          <w:sz w:val="24"/>
          <w:szCs w:val="24"/>
        </w:rPr>
        <w:t>°С</w:t>
      </w:r>
      <w:proofErr w:type="gramEnd"/>
      <w:r w:rsidR="00AD0389" w:rsidRPr="00EC65A3">
        <w:rPr>
          <w:rFonts w:ascii="Times New Roman" w:hAnsi="Times New Roman" w:cs="Times New Roman"/>
          <w:sz w:val="24"/>
          <w:szCs w:val="24"/>
        </w:rPr>
        <w:t xml:space="preserve"> и высоким КПД, позволяет пересмотреть подход к применению ПГУ в малой энергетике. </w:t>
      </w:r>
    </w:p>
    <w:p w:rsidR="002A5275" w:rsidRPr="008C7F45" w:rsidRDefault="002A5275" w:rsidP="00AA3ADB">
      <w:pPr>
        <w:spacing w:after="0" w:line="240" w:lineRule="auto"/>
        <w:jc w:val="both"/>
        <w:rPr>
          <w:rFonts w:ascii="Times New Roman" w:hAnsi="Times New Roman" w:cs="Times New Roman"/>
          <w:sz w:val="24"/>
          <w:szCs w:val="24"/>
        </w:rPr>
      </w:pPr>
    </w:p>
    <w:p w:rsidR="00C77199" w:rsidRDefault="002223E3" w:rsidP="00BC48B3">
      <w:pPr>
        <w:spacing w:after="0"/>
        <w:rPr>
          <w:rFonts w:ascii="Times New Roman" w:hAnsi="Times New Roman" w:cs="Times New Roman"/>
        </w:rPr>
      </w:pPr>
      <w:r>
        <w:rPr>
          <w:rFonts w:ascii="Times New Roman" w:hAnsi="Times New Roman" w:cs="Times New Roman"/>
          <w:sz w:val="24"/>
          <w:szCs w:val="24"/>
        </w:rPr>
        <w:t xml:space="preserve">                                                               </w:t>
      </w:r>
      <w:r w:rsidRPr="00BC48B3">
        <w:rPr>
          <w:rFonts w:ascii="Times New Roman" w:hAnsi="Times New Roman" w:cs="Times New Roman"/>
        </w:rPr>
        <w:t>Список литературы</w:t>
      </w:r>
    </w:p>
    <w:p w:rsidR="00AA3ADB" w:rsidRPr="00BC48B3" w:rsidRDefault="00AA3ADB" w:rsidP="00BC48B3">
      <w:pPr>
        <w:spacing w:after="0"/>
        <w:rPr>
          <w:rFonts w:ascii="Times New Roman" w:hAnsi="Times New Roman" w:cs="Times New Roman"/>
        </w:rPr>
      </w:pPr>
    </w:p>
    <w:p w:rsidR="00BC48B3" w:rsidRPr="00682F65" w:rsidRDefault="00BC48B3" w:rsidP="00AA3ADB">
      <w:pPr>
        <w:spacing w:after="0"/>
        <w:ind w:firstLine="708"/>
        <w:rPr>
          <w:rFonts w:ascii="Times New Roman" w:hAnsi="Times New Roman" w:cs="Times New Roman"/>
        </w:rPr>
      </w:pPr>
      <w:r w:rsidRPr="00BC48B3">
        <w:rPr>
          <w:rFonts w:ascii="Times New Roman" w:hAnsi="Times New Roman" w:cs="Times New Roman"/>
        </w:rPr>
        <w:t>1.</w:t>
      </w:r>
      <w:r w:rsidR="00C03EE8" w:rsidRPr="00C03EE8">
        <w:t xml:space="preserve"> </w:t>
      </w:r>
      <w:r w:rsidR="00C03EE8" w:rsidRPr="00C03EE8">
        <w:rPr>
          <w:rFonts w:ascii="Times New Roman" w:hAnsi="Times New Roman" w:cs="Times New Roman"/>
        </w:rPr>
        <w:t>Промышленная газовая турбина SGT-100</w:t>
      </w:r>
      <w:r w:rsidR="00C03EE8">
        <w:rPr>
          <w:rFonts w:ascii="Times New Roman" w:hAnsi="Times New Roman" w:cs="Times New Roman"/>
        </w:rPr>
        <w:t>.</w:t>
      </w:r>
      <w:r w:rsidR="00682F65" w:rsidRPr="00682F65">
        <w:rPr>
          <w:rFonts w:ascii="Times New Roman" w:hAnsi="Times New Roman" w:cs="Times New Roman"/>
        </w:rPr>
        <w:t>[</w:t>
      </w:r>
      <w:r w:rsidR="00682F65">
        <w:rPr>
          <w:rFonts w:ascii="Times New Roman" w:hAnsi="Times New Roman" w:cs="Times New Roman"/>
        </w:rPr>
        <w:t>Текст</w:t>
      </w:r>
      <w:r w:rsidR="00682F65" w:rsidRPr="00682F65">
        <w:rPr>
          <w:rFonts w:ascii="Times New Roman" w:hAnsi="Times New Roman" w:cs="Times New Roman"/>
        </w:rPr>
        <w:t>]</w:t>
      </w:r>
      <w:r w:rsidR="00682F65">
        <w:rPr>
          <w:rFonts w:ascii="Times New Roman" w:hAnsi="Times New Roman" w:cs="Times New Roman"/>
        </w:rPr>
        <w:t>: техническое описание установки</w:t>
      </w:r>
      <w:r w:rsidR="005772ED">
        <w:rPr>
          <w:rFonts w:ascii="Times New Roman" w:hAnsi="Times New Roman" w:cs="Times New Roman"/>
        </w:rPr>
        <w:t xml:space="preserve">: </w:t>
      </w:r>
      <w:r w:rsidR="00682F65">
        <w:rPr>
          <w:rFonts w:ascii="Times New Roman" w:hAnsi="Times New Roman" w:cs="Times New Roman"/>
        </w:rPr>
        <w:t xml:space="preserve"> разработчик </w:t>
      </w:r>
      <w:r w:rsidR="00B131BE">
        <w:rPr>
          <w:rFonts w:ascii="Times New Roman" w:hAnsi="Times New Roman" w:cs="Times New Roman"/>
        </w:rPr>
        <w:t xml:space="preserve">и изготовитель </w:t>
      </w:r>
      <w:r w:rsidR="00682F65">
        <w:rPr>
          <w:rFonts w:ascii="Times New Roman" w:hAnsi="Times New Roman" w:cs="Times New Roman"/>
        </w:rPr>
        <w:t xml:space="preserve">Siemens AG Power Generation, </w:t>
      </w:r>
      <w:r w:rsidR="00682F65" w:rsidRPr="00682F65">
        <w:rPr>
          <w:rFonts w:ascii="Times New Roman" w:hAnsi="Times New Roman" w:cs="Times New Roman"/>
        </w:rPr>
        <w:t>Freyesleben</w:t>
      </w:r>
      <w:r w:rsidR="00682F65">
        <w:rPr>
          <w:rFonts w:ascii="Times New Roman" w:hAnsi="Times New Roman" w:cs="Times New Roman"/>
        </w:rPr>
        <w:t xml:space="preserve">strasse 1, </w:t>
      </w:r>
      <w:r w:rsidR="00682F65" w:rsidRPr="00682F65">
        <w:rPr>
          <w:rFonts w:ascii="Times New Roman" w:hAnsi="Times New Roman" w:cs="Times New Roman"/>
        </w:rPr>
        <w:t>91058 Erlangen, Germany</w:t>
      </w:r>
      <w:r w:rsidR="00CD063C">
        <w:rPr>
          <w:rFonts w:ascii="Times New Roman" w:hAnsi="Times New Roman" w:cs="Times New Roman"/>
        </w:rPr>
        <w:t>, 2005.</w:t>
      </w:r>
      <w:r w:rsidR="00DD7ED9">
        <w:rPr>
          <w:rFonts w:ascii="Times New Roman" w:hAnsi="Times New Roman" w:cs="Times New Roman"/>
        </w:rPr>
        <w:t xml:space="preserve"> – 4л.</w:t>
      </w:r>
    </w:p>
    <w:p w:rsidR="00BC48B3" w:rsidRDefault="00BC48B3" w:rsidP="00AA3ADB">
      <w:pPr>
        <w:spacing w:after="0"/>
        <w:ind w:firstLine="708"/>
        <w:rPr>
          <w:rFonts w:ascii="Times New Roman" w:hAnsi="Times New Roman" w:cs="Times New Roman"/>
        </w:rPr>
      </w:pPr>
      <w:r w:rsidRPr="00BC48B3">
        <w:rPr>
          <w:rFonts w:ascii="Times New Roman" w:hAnsi="Times New Roman" w:cs="Times New Roman"/>
        </w:rPr>
        <w:t>2.</w:t>
      </w:r>
      <w:r w:rsidR="00682F65" w:rsidRPr="00682F65">
        <w:t xml:space="preserve"> </w:t>
      </w:r>
      <w:r w:rsidR="00682F65" w:rsidRPr="00682F65">
        <w:rPr>
          <w:rFonts w:ascii="Times New Roman" w:hAnsi="Times New Roman" w:cs="Times New Roman"/>
        </w:rPr>
        <w:t>Пр</w:t>
      </w:r>
      <w:r w:rsidR="00682F65">
        <w:rPr>
          <w:rFonts w:ascii="Times New Roman" w:hAnsi="Times New Roman" w:cs="Times New Roman"/>
        </w:rPr>
        <w:t>омышленная газовая турбина SGT-3</w:t>
      </w:r>
      <w:r w:rsidR="00682F65" w:rsidRPr="00682F65">
        <w:rPr>
          <w:rFonts w:ascii="Times New Roman" w:hAnsi="Times New Roman" w:cs="Times New Roman"/>
        </w:rPr>
        <w:t xml:space="preserve">00.[Текст]: техническое описание установки: разработчик </w:t>
      </w:r>
      <w:r w:rsidR="00B131BE">
        <w:rPr>
          <w:rFonts w:ascii="Times New Roman" w:hAnsi="Times New Roman" w:cs="Times New Roman"/>
        </w:rPr>
        <w:t xml:space="preserve">и изготовитель </w:t>
      </w:r>
      <w:r w:rsidR="00682F65" w:rsidRPr="00682F65">
        <w:rPr>
          <w:rFonts w:ascii="Times New Roman" w:hAnsi="Times New Roman" w:cs="Times New Roman"/>
        </w:rPr>
        <w:t>Siemens AG Power Generation, Freyeslebenstr</w:t>
      </w:r>
      <w:r w:rsidR="00CD063C">
        <w:rPr>
          <w:rFonts w:ascii="Times New Roman" w:hAnsi="Times New Roman" w:cs="Times New Roman"/>
        </w:rPr>
        <w:t>asse 1, 91058 Erlangen, Germany, 2005.</w:t>
      </w:r>
      <w:r w:rsidR="00DD7ED9">
        <w:rPr>
          <w:rFonts w:ascii="Times New Roman" w:hAnsi="Times New Roman" w:cs="Times New Roman"/>
        </w:rPr>
        <w:t xml:space="preserve"> – 4л.</w:t>
      </w:r>
    </w:p>
    <w:p w:rsidR="001833BC" w:rsidRPr="00BC48B3" w:rsidRDefault="001833BC" w:rsidP="00AA3ADB">
      <w:pPr>
        <w:spacing w:after="0"/>
        <w:ind w:firstLine="708"/>
        <w:rPr>
          <w:rFonts w:ascii="Times New Roman" w:hAnsi="Times New Roman" w:cs="Times New Roman"/>
        </w:rPr>
      </w:pPr>
      <w:r>
        <w:rPr>
          <w:rFonts w:ascii="Times New Roman" w:hAnsi="Times New Roman" w:cs="Times New Roman"/>
        </w:rPr>
        <w:t>3</w:t>
      </w:r>
      <w:r w:rsidRPr="00BC48B3">
        <w:rPr>
          <w:rFonts w:ascii="Times New Roman" w:hAnsi="Times New Roman" w:cs="Times New Roman"/>
        </w:rPr>
        <w:t>.</w:t>
      </w:r>
      <w:r w:rsidRPr="00682F65">
        <w:t xml:space="preserve"> </w:t>
      </w:r>
      <w:r w:rsidRPr="00682F65">
        <w:rPr>
          <w:rFonts w:ascii="Times New Roman" w:hAnsi="Times New Roman" w:cs="Times New Roman"/>
        </w:rPr>
        <w:t>Пр</w:t>
      </w:r>
      <w:r>
        <w:rPr>
          <w:rFonts w:ascii="Times New Roman" w:hAnsi="Times New Roman" w:cs="Times New Roman"/>
        </w:rPr>
        <w:t>омышленная газовая турбина SGT-4</w:t>
      </w:r>
      <w:r w:rsidRPr="00682F65">
        <w:rPr>
          <w:rFonts w:ascii="Times New Roman" w:hAnsi="Times New Roman" w:cs="Times New Roman"/>
        </w:rPr>
        <w:t>00.[Текст]: техническое описание установки</w:t>
      </w:r>
      <w:r w:rsidR="00910C92">
        <w:rPr>
          <w:rFonts w:ascii="Times New Roman" w:hAnsi="Times New Roman" w:cs="Times New Roman"/>
        </w:rPr>
        <w:t>:</w:t>
      </w:r>
      <w:r w:rsidRPr="00682F65">
        <w:rPr>
          <w:rFonts w:ascii="Times New Roman" w:hAnsi="Times New Roman" w:cs="Times New Roman"/>
        </w:rPr>
        <w:t xml:space="preserve"> разработчик </w:t>
      </w:r>
      <w:r w:rsidR="00B131BE">
        <w:rPr>
          <w:rFonts w:ascii="Times New Roman" w:hAnsi="Times New Roman" w:cs="Times New Roman"/>
        </w:rPr>
        <w:t xml:space="preserve">и изготовитель </w:t>
      </w:r>
      <w:r w:rsidRPr="00682F65">
        <w:rPr>
          <w:rFonts w:ascii="Times New Roman" w:hAnsi="Times New Roman" w:cs="Times New Roman"/>
        </w:rPr>
        <w:t>Siemens AG Power Generation, Freyeslebenstr</w:t>
      </w:r>
      <w:r>
        <w:rPr>
          <w:rFonts w:ascii="Times New Roman" w:hAnsi="Times New Roman" w:cs="Times New Roman"/>
        </w:rPr>
        <w:t>asse 1, 91058 Erlangen, Germany, 2005. – 4л.</w:t>
      </w:r>
    </w:p>
    <w:p w:rsidR="00BC48B3" w:rsidRDefault="001833BC" w:rsidP="00AA3ADB">
      <w:pPr>
        <w:spacing w:after="0"/>
        <w:ind w:firstLine="708"/>
        <w:rPr>
          <w:rFonts w:ascii="Times New Roman" w:hAnsi="Times New Roman" w:cs="Times New Roman"/>
        </w:rPr>
      </w:pPr>
      <w:r>
        <w:rPr>
          <w:rFonts w:ascii="Times New Roman" w:hAnsi="Times New Roman" w:cs="Times New Roman"/>
        </w:rPr>
        <w:t>4</w:t>
      </w:r>
      <w:r w:rsidR="00BC48B3" w:rsidRPr="00BC48B3">
        <w:rPr>
          <w:rFonts w:ascii="Times New Roman" w:hAnsi="Times New Roman" w:cs="Times New Roman"/>
        </w:rPr>
        <w:t>.</w:t>
      </w:r>
      <w:r w:rsidR="00B32C2A">
        <w:rPr>
          <w:rFonts w:ascii="Times New Roman" w:hAnsi="Times New Roman" w:cs="Times New Roman"/>
        </w:rPr>
        <w:t xml:space="preserve"> Газоп</w:t>
      </w:r>
      <w:r w:rsidR="003E0628">
        <w:rPr>
          <w:rFonts w:ascii="Times New Roman" w:hAnsi="Times New Roman" w:cs="Times New Roman"/>
        </w:rPr>
        <w:t xml:space="preserve">оршневые электростанции </w:t>
      </w:r>
      <w:r w:rsidR="003E0628">
        <w:rPr>
          <w:rFonts w:ascii="Times New Roman" w:hAnsi="Times New Roman" w:cs="Times New Roman"/>
          <w:lang w:val="en-US"/>
        </w:rPr>
        <w:t>MWM</w:t>
      </w:r>
      <w:r w:rsidR="00B32C2A">
        <w:rPr>
          <w:rFonts w:ascii="Times New Roman" w:hAnsi="Times New Roman" w:cs="Times New Roman"/>
        </w:rPr>
        <w:t xml:space="preserve">. Каталог оборудования. </w:t>
      </w:r>
      <w:r w:rsidR="004D6DC4">
        <w:t xml:space="preserve">// </w:t>
      </w:r>
      <w:r w:rsidR="003E0628">
        <w:rPr>
          <w:rFonts w:ascii="Times New Roman" w:hAnsi="Times New Roman" w:cs="Times New Roman"/>
        </w:rPr>
        <w:t>С</w:t>
      </w:r>
      <w:r w:rsidR="004D6DC4" w:rsidRPr="004D6DC4">
        <w:rPr>
          <w:rFonts w:ascii="Times New Roman" w:hAnsi="Times New Roman" w:cs="Times New Roman"/>
        </w:rPr>
        <w:t>айт</w:t>
      </w:r>
      <w:r w:rsidR="003E0628" w:rsidRPr="003E0628">
        <w:rPr>
          <w:rFonts w:ascii="Times New Roman" w:hAnsi="Times New Roman" w:cs="Times New Roman"/>
        </w:rPr>
        <w:t xml:space="preserve"> </w:t>
      </w:r>
      <w:r w:rsidR="003E0628">
        <w:rPr>
          <w:rFonts w:ascii="Times New Roman" w:hAnsi="Times New Roman" w:cs="Times New Roman"/>
        </w:rPr>
        <w:t xml:space="preserve">машиностроительной компании </w:t>
      </w:r>
      <w:r w:rsidR="003E0628">
        <w:rPr>
          <w:rFonts w:ascii="Times New Roman" w:hAnsi="Times New Roman" w:cs="Times New Roman"/>
          <w:lang w:val="en-US"/>
        </w:rPr>
        <w:t>MWM</w:t>
      </w:r>
      <w:r w:rsidR="00B32C2A">
        <w:rPr>
          <w:rFonts w:ascii="Times New Roman" w:hAnsi="Times New Roman" w:cs="Times New Roman"/>
        </w:rPr>
        <w:t xml:space="preserve"> </w:t>
      </w:r>
      <w:r w:rsidR="003E0628">
        <w:rPr>
          <w:rFonts w:ascii="Times New Roman" w:hAnsi="Times New Roman" w:cs="Times New Roman"/>
          <w:lang w:val="en-US"/>
        </w:rPr>
        <w:t>GMbH</w:t>
      </w:r>
      <w:r w:rsidR="003E0628" w:rsidRPr="003E0628">
        <w:rPr>
          <w:rFonts w:ascii="Times New Roman" w:hAnsi="Times New Roman" w:cs="Times New Roman"/>
        </w:rPr>
        <w:t xml:space="preserve"> </w:t>
      </w:r>
      <w:r w:rsidR="00682F65" w:rsidRPr="00682F65">
        <w:rPr>
          <w:rFonts w:ascii="Times New Roman" w:hAnsi="Times New Roman" w:cs="Times New Roman"/>
        </w:rPr>
        <w:t>[</w:t>
      </w:r>
      <w:r w:rsidR="00682F65">
        <w:rPr>
          <w:rFonts w:ascii="Times New Roman" w:hAnsi="Times New Roman" w:cs="Times New Roman"/>
        </w:rPr>
        <w:t>Электронный ресурс</w:t>
      </w:r>
      <w:r w:rsidR="00682F65" w:rsidRPr="00682F65">
        <w:rPr>
          <w:rFonts w:ascii="Times New Roman" w:hAnsi="Times New Roman" w:cs="Times New Roman"/>
        </w:rPr>
        <w:t>]</w:t>
      </w:r>
      <w:r w:rsidR="00682F65">
        <w:rPr>
          <w:rFonts w:ascii="Times New Roman" w:hAnsi="Times New Roman" w:cs="Times New Roman"/>
        </w:rPr>
        <w:t>:</w:t>
      </w:r>
      <w:r w:rsidR="00A65510" w:rsidRPr="00A65510">
        <w:t xml:space="preserve"> </w:t>
      </w:r>
      <w:r w:rsidR="00A65510" w:rsidRPr="00A65510">
        <w:rPr>
          <w:rFonts w:ascii="Times New Roman" w:hAnsi="Times New Roman" w:cs="Times New Roman"/>
        </w:rPr>
        <w:t xml:space="preserve">URL: </w:t>
      </w:r>
      <w:r w:rsidR="00CD063C">
        <w:rPr>
          <w:rFonts w:ascii="Times New Roman" w:hAnsi="Times New Roman" w:cs="Times New Roman"/>
        </w:rPr>
        <w:t xml:space="preserve"> </w:t>
      </w:r>
      <w:hyperlink r:id="rId10" w:history="1">
        <w:r w:rsidR="003E0628" w:rsidRPr="00EE1E6F">
          <w:rPr>
            <w:rStyle w:val="a4"/>
            <w:rFonts w:ascii="Times New Roman" w:hAnsi="Times New Roman" w:cs="Times New Roman"/>
          </w:rPr>
          <w:t>http://www.mwm-russia.ru/tcg_2032.php</w:t>
        </w:r>
      </w:hyperlink>
      <w:r w:rsidR="00996BD4">
        <w:rPr>
          <w:rFonts w:ascii="Times New Roman" w:hAnsi="Times New Roman" w:cs="Times New Roman"/>
        </w:rPr>
        <w:t>.</w:t>
      </w:r>
      <w:r w:rsidR="00996BD4" w:rsidRPr="00996BD4">
        <w:rPr>
          <w:rFonts w:ascii="Times New Roman" w:hAnsi="Times New Roman" w:cs="Times New Roman"/>
        </w:rPr>
        <w:t>- Загл. с экрана</w:t>
      </w:r>
    </w:p>
    <w:p w:rsidR="003E0628" w:rsidRDefault="001833BC" w:rsidP="00AA3ADB">
      <w:pPr>
        <w:spacing w:after="0"/>
        <w:ind w:firstLine="708"/>
        <w:rPr>
          <w:rFonts w:ascii="Times New Roman" w:hAnsi="Times New Roman" w:cs="Times New Roman"/>
        </w:rPr>
      </w:pPr>
      <w:r>
        <w:rPr>
          <w:rFonts w:ascii="Times New Roman" w:hAnsi="Times New Roman" w:cs="Times New Roman"/>
        </w:rPr>
        <w:t>5</w:t>
      </w:r>
      <w:r w:rsidR="003E0628">
        <w:rPr>
          <w:rFonts w:ascii="Times New Roman" w:hAnsi="Times New Roman" w:cs="Times New Roman"/>
        </w:rPr>
        <w:t>. Газопоршневые установки. Каталог оборудования</w:t>
      </w:r>
      <w:proofErr w:type="gramStart"/>
      <w:r w:rsidR="003E0628">
        <w:rPr>
          <w:rFonts w:ascii="Times New Roman" w:hAnsi="Times New Roman" w:cs="Times New Roman"/>
        </w:rPr>
        <w:t>.</w:t>
      </w:r>
      <w:proofErr w:type="gramEnd"/>
      <w:r w:rsidR="003E0628">
        <w:rPr>
          <w:rFonts w:ascii="Times New Roman" w:hAnsi="Times New Roman" w:cs="Times New Roman"/>
        </w:rPr>
        <w:t xml:space="preserve"> // </w:t>
      </w:r>
      <w:proofErr w:type="gramStart"/>
      <w:r w:rsidR="003E0628">
        <w:rPr>
          <w:rFonts w:ascii="Times New Roman" w:hAnsi="Times New Roman" w:cs="Times New Roman"/>
        </w:rPr>
        <w:t>с</w:t>
      </w:r>
      <w:proofErr w:type="gramEnd"/>
      <w:r w:rsidR="003E0628">
        <w:rPr>
          <w:rFonts w:ascii="Times New Roman" w:hAnsi="Times New Roman" w:cs="Times New Roman"/>
        </w:rPr>
        <w:t xml:space="preserve">айт </w:t>
      </w:r>
      <w:r w:rsidR="003E0628">
        <w:rPr>
          <w:rFonts w:ascii="Times New Roman" w:hAnsi="Times New Roman" w:cs="Times New Roman"/>
          <w:lang w:val="en-US"/>
        </w:rPr>
        <w:t>ROLT</w:t>
      </w:r>
      <w:r w:rsidR="003E0628" w:rsidRPr="003E0628">
        <w:rPr>
          <w:rFonts w:ascii="Times New Roman" w:hAnsi="Times New Roman" w:cs="Times New Roman"/>
        </w:rPr>
        <w:t xml:space="preserve"> </w:t>
      </w:r>
      <w:r w:rsidR="003E0628">
        <w:rPr>
          <w:rFonts w:ascii="Times New Roman" w:hAnsi="Times New Roman" w:cs="Times New Roman"/>
          <w:lang w:val="en-US"/>
        </w:rPr>
        <w:t>Power</w:t>
      </w:r>
      <w:r w:rsidR="003E0628" w:rsidRPr="003E0628">
        <w:rPr>
          <w:rFonts w:ascii="Times New Roman" w:hAnsi="Times New Roman" w:cs="Times New Roman"/>
        </w:rPr>
        <w:t xml:space="preserve"> </w:t>
      </w:r>
      <w:r w:rsidR="003E0628">
        <w:rPr>
          <w:rFonts w:ascii="Times New Roman" w:hAnsi="Times New Roman" w:cs="Times New Roman"/>
          <w:lang w:val="en-US"/>
        </w:rPr>
        <w:t>systems</w:t>
      </w:r>
      <w:r w:rsidR="003E0628" w:rsidRPr="003E0628">
        <w:rPr>
          <w:rFonts w:ascii="Times New Roman" w:hAnsi="Times New Roman" w:cs="Times New Roman"/>
        </w:rPr>
        <w:t xml:space="preserve"> [</w:t>
      </w:r>
      <w:r w:rsidR="003E0628">
        <w:rPr>
          <w:rFonts w:ascii="Times New Roman" w:hAnsi="Times New Roman" w:cs="Times New Roman"/>
        </w:rPr>
        <w:t>электронный ресурс</w:t>
      </w:r>
      <w:r w:rsidR="003E0628" w:rsidRPr="003E0628">
        <w:rPr>
          <w:rFonts w:ascii="Times New Roman" w:hAnsi="Times New Roman" w:cs="Times New Roman"/>
        </w:rPr>
        <w:t>]</w:t>
      </w:r>
      <w:r w:rsidR="00996BD4">
        <w:rPr>
          <w:rFonts w:ascii="Times New Roman" w:hAnsi="Times New Roman" w:cs="Times New Roman"/>
        </w:rPr>
        <w:t>. - Режим доступа</w:t>
      </w:r>
      <w:r w:rsidR="003E0628">
        <w:rPr>
          <w:rFonts w:ascii="Times New Roman" w:hAnsi="Times New Roman" w:cs="Times New Roman"/>
        </w:rPr>
        <w:t xml:space="preserve">: </w:t>
      </w:r>
      <w:hyperlink r:id="rId11" w:history="1">
        <w:r w:rsidR="003E0628" w:rsidRPr="00EE1E6F">
          <w:rPr>
            <w:rStyle w:val="a4"/>
            <w:rFonts w:ascii="Times New Roman" w:hAnsi="Times New Roman" w:cs="Times New Roman"/>
          </w:rPr>
          <w:t>http://www.roltpower.ru/equipment/mwm/tcg-2032-v16/</w:t>
        </w:r>
      </w:hyperlink>
      <w:r w:rsidR="00996BD4">
        <w:rPr>
          <w:rFonts w:ascii="Times New Roman" w:hAnsi="Times New Roman" w:cs="Times New Roman"/>
        </w:rPr>
        <w:t>. - Загл. с экрана</w:t>
      </w:r>
    </w:p>
    <w:p w:rsidR="00697A0B" w:rsidRPr="001833BC" w:rsidRDefault="001833BC" w:rsidP="00AA3ADB">
      <w:pPr>
        <w:spacing w:after="0"/>
        <w:ind w:firstLine="708"/>
        <w:rPr>
          <w:rFonts w:ascii="Times New Roman" w:hAnsi="Times New Roman" w:cs="Times New Roman"/>
        </w:rPr>
      </w:pPr>
      <w:r>
        <w:rPr>
          <w:rFonts w:ascii="Times New Roman" w:hAnsi="Times New Roman" w:cs="Times New Roman"/>
        </w:rPr>
        <w:t>6</w:t>
      </w:r>
      <w:r w:rsidR="00697A0B">
        <w:rPr>
          <w:rFonts w:ascii="Times New Roman" w:hAnsi="Times New Roman" w:cs="Times New Roman"/>
        </w:rPr>
        <w:t xml:space="preserve">. Генераторная установка с газовым двигателем </w:t>
      </w:r>
      <w:r w:rsidR="00697A0B">
        <w:rPr>
          <w:rFonts w:ascii="Times New Roman" w:hAnsi="Times New Roman" w:cs="Times New Roman"/>
          <w:lang w:val="en-US"/>
        </w:rPr>
        <w:t>G</w:t>
      </w:r>
      <w:r w:rsidR="00697A0B" w:rsidRPr="00697A0B">
        <w:rPr>
          <w:rFonts w:ascii="Times New Roman" w:hAnsi="Times New Roman" w:cs="Times New Roman"/>
        </w:rPr>
        <w:t>3516</w:t>
      </w:r>
      <w:r w:rsidR="00697A0B">
        <w:rPr>
          <w:rFonts w:ascii="Times New Roman" w:hAnsi="Times New Roman" w:cs="Times New Roman"/>
          <w:lang w:val="en-US"/>
        </w:rPr>
        <w:t>E</w:t>
      </w:r>
      <w:r w:rsidR="00697A0B">
        <w:rPr>
          <w:rFonts w:ascii="Times New Roman" w:hAnsi="Times New Roman" w:cs="Times New Roman"/>
        </w:rPr>
        <w:t xml:space="preserve">. </w:t>
      </w:r>
      <w:r w:rsidR="00697A0B" w:rsidRPr="00697A0B">
        <w:rPr>
          <w:rFonts w:ascii="Times New Roman" w:hAnsi="Times New Roman" w:cs="Times New Roman"/>
        </w:rPr>
        <w:t>[</w:t>
      </w:r>
      <w:r w:rsidR="00697A0B">
        <w:rPr>
          <w:rFonts w:ascii="Times New Roman" w:hAnsi="Times New Roman" w:cs="Times New Roman"/>
        </w:rPr>
        <w:t>текст</w:t>
      </w:r>
      <w:r w:rsidR="00697A0B" w:rsidRPr="00697A0B">
        <w:rPr>
          <w:rFonts w:ascii="Times New Roman" w:hAnsi="Times New Roman" w:cs="Times New Roman"/>
        </w:rPr>
        <w:t>]</w:t>
      </w:r>
      <w:r w:rsidR="00697A0B">
        <w:rPr>
          <w:rFonts w:ascii="Times New Roman" w:hAnsi="Times New Roman" w:cs="Times New Roman"/>
        </w:rPr>
        <w:t xml:space="preserve">: техническое описание установки: разработчик </w:t>
      </w:r>
      <w:r w:rsidR="00B131BE">
        <w:rPr>
          <w:rFonts w:ascii="Times New Roman" w:hAnsi="Times New Roman" w:cs="Times New Roman"/>
        </w:rPr>
        <w:t xml:space="preserve">и изготовитель </w:t>
      </w:r>
      <w:r w:rsidR="00EC7ACD">
        <w:rPr>
          <w:rFonts w:ascii="Times New Roman" w:hAnsi="Times New Roman" w:cs="Times New Roman"/>
          <w:lang w:val="en-US"/>
        </w:rPr>
        <w:t>Caterpillar</w:t>
      </w:r>
      <w:r w:rsidR="00697A0B" w:rsidRPr="00697A0B">
        <w:rPr>
          <w:rFonts w:ascii="Times New Roman" w:hAnsi="Times New Roman" w:cs="Times New Roman"/>
        </w:rPr>
        <w:t xml:space="preserve"> </w:t>
      </w:r>
      <w:r w:rsidR="00697A0B">
        <w:rPr>
          <w:rFonts w:ascii="Times New Roman" w:hAnsi="Times New Roman" w:cs="Times New Roman"/>
          <w:lang w:val="en-US"/>
        </w:rPr>
        <w:t>Electric</w:t>
      </w:r>
      <w:r w:rsidR="00697A0B" w:rsidRPr="00697A0B">
        <w:rPr>
          <w:rFonts w:ascii="Times New Roman" w:hAnsi="Times New Roman" w:cs="Times New Roman"/>
        </w:rPr>
        <w:t xml:space="preserve"> </w:t>
      </w:r>
      <w:r w:rsidR="00697A0B">
        <w:rPr>
          <w:rFonts w:ascii="Times New Roman" w:hAnsi="Times New Roman" w:cs="Times New Roman"/>
          <w:lang w:val="en-US"/>
        </w:rPr>
        <w:t>Power</w:t>
      </w:r>
      <w:r w:rsidR="00697A0B">
        <w:rPr>
          <w:rFonts w:ascii="Times New Roman" w:hAnsi="Times New Roman" w:cs="Times New Roman"/>
        </w:rPr>
        <w:t xml:space="preserve">, </w:t>
      </w:r>
      <w:r w:rsidR="00697A0B">
        <w:rPr>
          <w:rFonts w:ascii="Times New Roman" w:hAnsi="Times New Roman" w:cs="Times New Roman"/>
          <w:lang w:val="en-US"/>
        </w:rPr>
        <w:t>USA</w:t>
      </w:r>
      <w:r w:rsidR="00697A0B">
        <w:rPr>
          <w:rFonts w:ascii="Times New Roman" w:hAnsi="Times New Roman" w:cs="Times New Roman"/>
        </w:rPr>
        <w:t>, 2004</w:t>
      </w:r>
      <w:r w:rsidR="00697A0B" w:rsidRPr="00697A0B">
        <w:rPr>
          <w:rFonts w:ascii="Times New Roman" w:hAnsi="Times New Roman" w:cs="Times New Roman"/>
        </w:rPr>
        <w:t>. – 4</w:t>
      </w:r>
      <w:r w:rsidR="00697A0B">
        <w:rPr>
          <w:rFonts w:ascii="Times New Roman" w:hAnsi="Times New Roman" w:cs="Times New Roman"/>
        </w:rPr>
        <w:t>л.</w:t>
      </w:r>
    </w:p>
    <w:p w:rsidR="001833BC" w:rsidRDefault="001833BC" w:rsidP="00AA3ADB">
      <w:pPr>
        <w:spacing w:after="0"/>
        <w:ind w:firstLine="708"/>
        <w:rPr>
          <w:rFonts w:ascii="Times New Roman" w:hAnsi="Times New Roman" w:cs="Times New Roman"/>
        </w:rPr>
      </w:pPr>
      <w:r w:rsidRPr="001833BC">
        <w:rPr>
          <w:rFonts w:ascii="Times New Roman" w:hAnsi="Times New Roman" w:cs="Times New Roman"/>
          <w:lang w:val="en-US"/>
        </w:rPr>
        <w:t xml:space="preserve">7. </w:t>
      </w:r>
      <w:r>
        <w:rPr>
          <w:rFonts w:ascii="Times New Roman" w:hAnsi="Times New Roman" w:cs="Times New Roman"/>
          <w:lang w:val="en-US"/>
        </w:rPr>
        <w:t>Gas Petroleum engine Caterpillar G16CM34</w:t>
      </w:r>
      <w:r w:rsidRPr="001833BC">
        <w:rPr>
          <w:rFonts w:ascii="Times New Roman" w:hAnsi="Times New Roman" w:cs="Times New Roman"/>
          <w:lang w:val="en-US"/>
        </w:rPr>
        <w:t>.</w:t>
      </w:r>
      <w:r>
        <w:rPr>
          <w:rFonts w:ascii="Times New Roman" w:hAnsi="Times New Roman" w:cs="Times New Roman"/>
          <w:lang w:val="en-US"/>
        </w:rPr>
        <w:t xml:space="preserve"> </w:t>
      </w:r>
      <w:r w:rsidRPr="001833BC">
        <w:rPr>
          <w:rFonts w:ascii="Times New Roman" w:hAnsi="Times New Roman" w:cs="Times New Roman"/>
        </w:rPr>
        <w:t>[</w:t>
      </w:r>
      <w:r>
        <w:rPr>
          <w:rFonts w:ascii="Times New Roman" w:hAnsi="Times New Roman" w:cs="Times New Roman"/>
        </w:rPr>
        <w:t>текст</w:t>
      </w:r>
      <w:r w:rsidRPr="001833BC">
        <w:rPr>
          <w:rFonts w:ascii="Times New Roman" w:hAnsi="Times New Roman" w:cs="Times New Roman"/>
        </w:rPr>
        <w:t>]</w:t>
      </w:r>
      <w:r>
        <w:rPr>
          <w:rFonts w:ascii="Times New Roman" w:hAnsi="Times New Roman" w:cs="Times New Roman"/>
        </w:rPr>
        <w:t>: техническое описание установки</w:t>
      </w:r>
      <w:r w:rsidR="00996BD4">
        <w:rPr>
          <w:rFonts w:ascii="Times New Roman" w:hAnsi="Times New Roman" w:cs="Times New Roman"/>
        </w:rPr>
        <w:t xml:space="preserve"> на англ. яз</w:t>
      </w:r>
      <w:proofErr w:type="gramStart"/>
      <w:r w:rsidR="00996BD4">
        <w:rPr>
          <w:rFonts w:ascii="Times New Roman" w:hAnsi="Times New Roman" w:cs="Times New Roman"/>
        </w:rPr>
        <w:t>.</w:t>
      </w:r>
      <w:r>
        <w:rPr>
          <w:rFonts w:ascii="Times New Roman" w:hAnsi="Times New Roman" w:cs="Times New Roman"/>
        </w:rPr>
        <w:t xml:space="preserve">: </w:t>
      </w:r>
      <w:proofErr w:type="gramEnd"/>
      <w:r>
        <w:rPr>
          <w:rFonts w:ascii="Times New Roman" w:hAnsi="Times New Roman" w:cs="Times New Roman"/>
        </w:rPr>
        <w:t>разработчик</w:t>
      </w:r>
      <w:r w:rsidRPr="001833BC">
        <w:rPr>
          <w:rFonts w:ascii="Times New Roman" w:hAnsi="Times New Roman" w:cs="Times New Roman"/>
        </w:rPr>
        <w:t xml:space="preserve"> </w:t>
      </w:r>
      <w:r w:rsidR="00EC7ACD">
        <w:rPr>
          <w:rFonts w:ascii="Times New Roman" w:hAnsi="Times New Roman" w:cs="Times New Roman"/>
          <w:lang w:val="en-US"/>
        </w:rPr>
        <w:t>Caterpillar</w:t>
      </w:r>
      <w:r w:rsidR="00EC7ACD" w:rsidRPr="00EC7ACD">
        <w:rPr>
          <w:rFonts w:ascii="Times New Roman" w:hAnsi="Times New Roman" w:cs="Times New Roman"/>
        </w:rPr>
        <w:t xml:space="preserve"> </w:t>
      </w:r>
      <w:r w:rsidR="00EC7ACD">
        <w:rPr>
          <w:rFonts w:ascii="Times New Roman" w:hAnsi="Times New Roman" w:cs="Times New Roman"/>
          <w:lang w:val="en-US"/>
        </w:rPr>
        <w:t>Electric</w:t>
      </w:r>
      <w:r w:rsidR="00EC7ACD" w:rsidRPr="00697A0B">
        <w:rPr>
          <w:rFonts w:ascii="Times New Roman" w:hAnsi="Times New Roman" w:cs="Times New Roman"/>
        </w:rPr>
        <w:t xml:space="preserve"> </w:t>
      </w:r>
      <w:r w:rsidR="00EC7ACD">
        <w:rPr>
          <w:rFonts w:ascii="Times New Roman" w:hAnsi="Times New Roman" w:cs="Times New Roman"/>
          <w:lang w:val="en-US"/>
        </w:rPr>
        <w:t>Power</w:t>
      </w:r>
      <w:r>
        <w:rPr>
          <w:rFonts w:ascii="Times New Roman" w:hAnsi="Times New Roman" w:cs="Times New Roman"/>
        </w:rPr>
        <w:t xml:space="preserve">, </w:t>
      </w:r>
      <w:r>
        <w:rPr>
          <w:rFonts w:ascii="Times New Roman" w:hAnsi="Times New Roman" w:cs="Times New Roman"/>
          <w:lang w:val="en-US"/>
        </w:rPr>
        <w:t>USA</w:t>
      </w:r>
      <w:r w:rsidR="00EC7ACD">
        <w:rPr>
          <w:rFonts w:ascii="Times New Roman" w:hAnsi="Times New Roman" w:cs="Times New Roman"/>
        </w:rPr>
        <w:t>, 2011</w:t>
      </w:r>
      <w:r w:rsidRPr="00697A0B">
        <w:rPr>
          <w:rFonts w:ascii="Times New Roman" w:hAnsi="Times New Roman" w:cs="Times New Roman"/>
        </w:rPr>
        <w:t>. –</w:t>
      </w:r>
      <w:r w:rsidR="00EC7ACD">
        <w:rPr>
          <w:rFonts w:ascii="Times New Roman" w:hAnsi="Times New Roman" w:cs="Times New Roman"/>
        </w:rPr>
        <w:t xml:space="preserve"> 4</w:t>
      </w:r>
      <w:r>
        <w:rPr>
          <w:rFonts w:ascii="Times New Roman" w:hAnsi="Times New Roman" w:cs="Times New Roman"/>
        </w:rPr>
        <w:t>л.</w:t>
      </w:r>
    </w:p>
    <w:p w:rsidR="00EC7ACD" w:rsidRDefault="00EC7ACD" w:rsidP="00AA3ADB">
      <w:pPr>
        <w:spacing w:after="0" w:line="240" w:lineRule="auto"/>
        <w:ind w:firstLine="708"/>
        <w:rPr>
          <w:rFonts w:ascii="Times New Roman" w:hAnsi="Times New Roman" w:cs="Times New Roman"/>
        </w:rPr>
      </w:pPr>
      <w:r w:rsidRPr="00EC7ACD">
        <w:rPr>
          <w:rFonts w:ascii="Times New Roman" w:hAnsi="Times New Roman" w:cs="Times New Roman"/>
          <w:lang w:val="en-US"/>
        </w:rPr>
        <w:t xml:space="preserve">8. </w:t>
      </w:r>
      <w:r>
        <w:rPr>
          <w:rFonts w:ascii="Times New Roman" w:hAnsi="Times New Roman" w:cs="Times New Roman"/>
          <w:lang w:val="en-US"/>
        </w:rPr>
        <w:t xml:space="preserve">GCM34 - CAT engines for gas compression. </w:t>
      </w:r>
      <w:r w:rsidRPr="00EC7ACD">
        <w:rPr>
          <w:rFonts w:ascii="Times New Roman" w:hAnsi="Times New Roman" w:cs="Times New Roman"/>
        </w:rPr>
        <w:t>[</w:t>
      </w:r>
      <w:r>
        <w:rPr>
          <w:rFonts w:ascii="Times New Roman" w:hAnsi="Times New Roman" w:cs="Times New Roman"/>
        </w:rPr>
        <w:t>текст</w:t>
      </w:r>
      <w:r w:rsidRPr="00EC7ACD">
        <w:rPr>
          <w:rFonts w:ascii="Times New Roman" w:hAnsi="Times New Roman" w:cs="Times New Roman"/>
        </w:rPr>
        <w:t>]</w:t>
      </w:r>
      <w:r>
        <w:rPr>
          <w:rFonts w:ascii="Times New Roman" w:hAnsi="Times New Roman" w:cs="Times New Roman"/>
        </w:rPr>
        <w:t>:</w:t>
      </w:r>
      <w:r w:rsidR="00AA28FF">
        <w:rPr>
          <w:rFonts w:ascii="Times New Roman" w:hAnsi="Times New Roman" w:cs="Times New Roman"/>
        </w:rPr>
        <w:t xml:space="preserve"> </w:t>
      </w:r>
      <w:r>
        <w:rPr>
          <w:rFonts w:ascii="Times New Roman" w:hAnsi="Times New Roman" w:cs="Times New Roman"/>
        </w:rPr>
        <w:t>техническое описание установки</w:t>
      </w:r>
      <w:r w:rsidR="00996BD4">
        <w:rPr>
          <w:rFonts w:ascii="Times New Roman" w:hAnsi="Times New Roman" w:cs="Times New Roman"/>
        </w:rPr>
        <w:t xml:space="preserve"> на англ. яз</w:t>
      </w:r>
      <w:proofErr w:type="gramStart"/>
      <w:r w:rsidR="00996BD4">
        <w:rPr>
          <w:rFonts w:ascii="Times New Roman" w:hAnsi="Times New Roman" w:cs="Times New Roman"/>
        </w:rPr>
        <w:t>.</w:t>
      </w:r>
      <w:r>
        <w:rPr>
          <w:rFonts w:ascii="Times New Roman" w:hAnsi="Times New Roman" w:cs="Times New Roman"/>
        </w:rPr>
        <w:t xml:space="preserve">: </w:t>
      </w:r>
      <w:proofErr w:type="gramEnd"/>
      <w:r>
        <w:rPr>
          <w:rFonts w:ascii="Times New Roman" w:hAnsi="Times New Roman" w:cs="Times New Roman"/>
        </w:rPr>
        <w:t>разработчик</w:t>
      </w:r>
      <w:r w:rsidRPr="001833BC">
        <w:rPr>
          <w:rFonts w:ascii="Times New Roman" w:hAnsi="Times New Roman" w:cs="Times New Roman"/>
        </w:rPr>
        <w:t xml:space="preserve"> </w:t>
      </w:r>
      <w:r>
        <w:rPr>
          <w:rFonts w:ascii="Times New Roman" w:hAnsi="Times New Roman" w:cs="Times New Roman"/>
          <w:lang w:val="en-US"/>
        </w:rPr>
        <w:t>Caterpillar</w:t>
      </w:r>
      <w:r w:rsidRPr="00EC7ACD">
        <w:rPr>
          <w:rFonts w:ascii="Times New Roman" w:hAnsi="Times New Roman" w:cs="Times New Roman"/>
        </w:rPr>
        <w:t xml:space="preserve"> </w:t>
      </w:r>
      <w:r>
        <w:rPr>
          <w:rFonts w:ascii="Times New Roman" w:hAnsi="Times New Roman" w:cs="Times New Roman"/>
          <w:lang w:val="en-US"/>
        </w:rPr>
        <w:t>Oil</w:t>
      </w:r>
      <w:r w:rsidRPr="00EC7ACD">
        <w:rPr>
          <w:rFonts w:ascii="Times New Roman" w:hAnsi="Times New Roman" w:cs="Times New Roman"/>
        </w:rPr>
        <w:t xml:space="preserve"> &amp;</w:t>
      </w:r>
      <w:r>
        <w:rPr>
          <w:rFonts w:ascii="Times New Roman" w:hAnsi="Times New Roman" w:cs="Times New Roman"/>
          <w:lang w:val="en-US"/>
        </w:rPr>
        <w:t>Gas</w:t>
      </w:r>
      <w:r>
        <w:rPr>
          <w:rFonts w:ascii="Times New Roman" w:hAnsi="Times New Roman" w:cs="Times New Roman"/>
        </w:rPr>
        <w:t xml:space="preserve">, </w:t>
      </w:r>
      <w:r>
        <w:rPr>
          <w:rFonts w:ascii="Times New Roman" w:hAnsi="Times New Roman" w:cs="Times New Roman"/>
          <w:lang w:val="en-US"/>
        </w:rPr>
        <w:t>USA</w:t>
      </w:r>
      <w:r>
        <w:rPr>
          <w:rFonts w:ascii="Times New Roman" w:hAnsi="Times New Roman" w:cs="Times New Roman"/>
        </w:rPr>
        <w:t>, 2009</w:t>
      </w:r>
      <w:r w:rsidRPr="00697A0B">
        <w:rPr>
          <w:rFonts w:ascii="Times New Roman" w:hAnsi="Times New Roman" w:cs="Times New Roman"/>
        </w:rPr>
        <w:t>. –</w:t>
      </w:r>
      <w:r>
        <w:rPr>
          <w:rFonts w:ascii="Times New Roman" w:hAnsi="Times New Roman" w:cs="Times New Roman"/>
        </w:rPr>
        <w:t xml:space="preserve"> 8л.</w:t>
      </w:r>
    </w:p>
    <w:p w:rsidR="009E0E3D" w:rsidRDefault="009E0E3D" w:rsidP="009E0E3D">
      <w:pPr>
        <w:spacing w:after="0" w:line="240" w:lineRule="auto"/>
        <w:rPr>
          <w:rFonts w:ascii="Times New Roman" w:hAnsi="Times New Roman" w:cs="Times New Roman"/>
        </w:rPr>
      </w:pPr>
    </w:p>
    <w:p w:rsidR="002D4A3F" w:rsidRPr="00D524CE" w:rsidRDefault="008451AE" w:rsidP="009E0E3D">
      <w:pPr>
        <w:spacing w:after="0" w:line="240" w:lineRule="auto"/>
        <w:rPr>
          <w:rFonts w:ascii="Times New Roman" w:hAnsi="Times New Roman" w:cs="Times New Roman"/>
        </w:rPr>
      </w:pPr>
      <w:r w:rsidRPr="009E0E3D">
        <w:rPr>
          <w:rFonts w:ascii="Times New Roman" w:hAnsi="Times New Roman" w:cs="Times New Roman"/>
          <w:b/>
        </w:rPr>
        <w:t>Коротин Семён Юрьевич</w:t>
      </w:r>
      <w:r w:rsidR="009E0E3D">
        <w:rPr>
          <w:rFonts w:ascii="Times New Roman" w:hAnsi="Times New Roman" w:cs="Times New Roman"/>
        </w:rPr>
        <w:t xml:space="preserve">, </w:t>
      </w:r>
      <w:r w:rsidR="009E0E3D" w:rsidRPr="009E0E3D">
        <w:rPr>
          <w:rFonts w:ascii="Times New Roman" w:hAnsi="Times New Roman" w:cs="Times New Roman"/>
        </w:rPr>
        <w:t>аспирант кафедры «Промышленная теплоэнергетика» ФГБОУ ВПО СамГТУ, г. Самара, Россия.</w:t>
      </w:r>
      <w:r w:rsidR="009E0E3D">
        <w:rPr>
          <w:rFonts w:ascii="Times New Roman" w:hAnsi="Times New Roman" w:cs="Times New Roman"/>
        </w:rPr>
        <w:t xml:space="preserve"> </w:t>
      </w:r>
      <w:r>
        <w:rPr>
          <w:rFonts w:ascii="Times New Roman" w:hAnsi="Times New Roman" w:cs="Times New Roman"/>
        </w:rPr>
        <w:t xml:space="preserve">Почтовый адрес: </w:t>
      </w:r>
      <w:r w:rsidR="00C629C8">
        <w:rPr>
          <w:rFonts w:ascii="Times New Roman" w:hAnsi="Times New Roman" w:cs="Times New Roman"/>
        </w:rPr>
        <w:t>44310</w:t>
      </w:r>
      <w:r w:rsidRPr="008451AE">
        <w:rPr>
          <w:rFonts w:ascii="Times New Roman" w:hAnsi="Times New Roman" w:cs="Times New Roman"/>
        </w:rPr>
        <w:t>0, г</w:t>
      </w:r>
      <w:r>
        <w:rPr>
          <w:rFonts w:ascii="Times New Roman" w:hAnsi="Times New Roman" w:cs="Times New Roman"/>
        </w:rPr>
        <w:t>.</w:t>
      </w:r>
      <w:r w:rsidR="00C629C8">
        <w:rPr>
          <w:rFonts w:ascii="Times New Roman" w:hAnsi="Times New Roman" w:cs="Times New Roman"/>
        </w:rPr>
        <w:t xml:space="preserve"> </w:t>
      </w:r>
      <w:r>
        <w:rPr>
          <w:rFonts w:ascii="Times New Roman" w:hAnsi="Times New Roman" w:cs="Times New Roman"/>
        </w:rPr>
        <w:t>Са</w:t>
      </w:r>
      <w:r w:rsidR="00C629C8">
        <w:rPr>
          <w:rFonts w:ascii="Times New Roman" w:hAnsi="Times New Roman" w:cs="Times New Roman"/>
        </w:rPr>
        <w:t>мара, ул. Молодогвардейская, 244</w:t>
      </w:r>
      <w:r w:rsidR="0036442C">
        <w:rPr>
          <w:rFonts w:ascii="Times New Roman" w:hAnsi="Times New Roman" w:cs="Times New Roman"/>
        </w:rPr>
        <w:t>,</w:t>
      </w:r>
      <w:r w:rsidR="00C629C8">
        <w:rPr>
          <w:rFonts w:ascii="Times New Roman" w:hAnsi="Times New Roman" w:cs="Times New Roman"/>
        </w:rPr>
        <w:t xml:space="preserve"> главный корпус, </w:t>
      </w:r>
      <w:r w:rsidR="0036442C" w:rsidRPr="0036442C">
        <w:t xml:space="preserve"> </w:t>
      </w:r>
      <w:r w:rsidR="00C629C8">
        <w:rPr>
          <w:rFonts w:ascii="Times New Roman" w:hAnsi="Times New Roman" w:cs="Times New Roman"/>
        </w:rPr>
        <w:t>каб. 313</w:t>
      </w:r>
      <w:r w:rsidR="008E3C62">
        <w:rPr>
          <w:rFonts w:ascii="Times New Roman" w:hAnsi="Times New Roman" w:cs="Times New Roman"/>
        </w:rPr>
        <w:t>,</w:t>
      </w:r>
      <w:r>
        <w:rPr>
          <w:rFonts w:ascii="Times New Roman" w:hAnsi="Times New Roman" w:cs="Times New Roman"/>
        </w:rPr>
        <w:t xml:space="preserve"> </w:t>
      </w:r>
      <w:r w:rsidR="008E3C62">
        <w:rPr>
          <w:rFonts w:ascii="Times New Roman" w:hAnsi="Times New Roman" w:cs="Times New Roman"/>
        </w:rPr>
        <w:t>тел.</w:t>
      </w:r>
      <w:r w:rsidR="008E3C62">
        <w:rPr>
          <w:rFonts w:ascii="Times New Roman" w:hAnsi="Times New Roman" w:cs="Times New Roman"/>
        </w:rPr>
        <w:t>:</w:t>
      </w:r>
      <w:r w:rsidR="008E3C62">
        <w:rPr>
          <w:rFonts w:ascii="Times New Roman" w:hAnsi="Times New Roman" w:cs="Times New Roman"/>
        </w:rPr>
        <w:t xml:space="preserve"> 89171414637</w:t>
      </w:r>
      <w:r w:rsidR="008E3C62">
        <w:rPr>
          <w:rFonts w:ascii="Times New Roman" w:hAnsi="Times New Roman" w:cs="Times New Roman"/>
        </w:rPr>
        <w:t>;</w:t>
      </w:r>
      <w:bookmarkStart w:id="0" w:name="_GoBack"/>
      <w:bookmarkEnd w:id="0"/>
      <w:r w:rsidR="008E3C62">
        <w:rPr>
          <w:rFonts w:ascii="Times New Roman" w:hAnsi="Times New Roman" w:cs="Times New Roman"/>
        </w:rPr>
        <w:t xml:space="preserve"> </w:t>
      </w:r>
      <w:r w:rsidR="008E3C62" w:rsidRPr="00021E53">
        <w:rPr>
          <w:lang w:val="en-US"/>
        </w:rPr>
        <w:t>e</w:t>
      </w:r>
      <w:r w:rsidR="008E3C62" w:rsidRPr="008E3C62">
        <w:t>-</w:t>
      </w:r>
      <w:r w:rsidR="008E3C62" w:rsidRPr="00021E53">
        <w:rPr>
          <w:lang w:val="en-US"/>
        </w:rPr>
        <w:t>mail</w:t>
      </w:r>
      <w:r>
        <w:rPr>
          <w:rFonts w:ascii="Times New Roman" w:hAnsi="Times New Roman" w:cs="Times New Roman"/>
        </w:rPr>
        <w:t xml:space="preserve">: </w:t>
      </w:r>
      <w:hyperlink r:id="rId12" w:history="1">
        <w:r w:rsidRPr="00800F5F">
          <w:rPr>
            <w:rStyle w:val="a4"/>
            <w:rFonts w:ascii="Times New Roman" w:hAnsi="Times New Roman" w:cs="Times New Roman"/>
            <w:lang w:val="en-US"/>
          </w:rPr>
          <w:t>arro</w:t>
        </w:r>
        <w:r w:rsidRPr="0036442C">
          <w:rPr>
            <w:rStyle w:val="a4"/>
            <w:rFonts w:ascii="Times New Roman" w:hAnsi="Times New Roman" w:cs="Times New Roman"/>
          </w:rPr>
          <w:t>116@</w:t>
        </w:r>
        <w:r w:rsidRPr="00800F5F">
          <w:rPr>
            <w:rStyle w:val="a4"/>
            <w:rFonts w:ascii="Times New Roman" w:hAnsi="Times New Roman" w:cs="Times New Roman"/>
            <w:lang w:val="en-US"/>
          </w:rPr>
          <w:t>mail</w:t>
        </w:r>
        <w:r w:rsidRPr="0036442C">
          <w:rPr>
            <w:rStyle w:val="a4"/>
            <w:rFonts w:ascii="Times New Roman" w:hAnsi="Times New Roman" w:cs="Times New Roman"/>
          </w:rPr>
          <w:t>.</w:t>
        </w:r>
        <w:r w:rsidRPr="00800F5F">
          <w:rPr>
            <w:rStyle w:val="a4"/>
            <w:rFonts w:ascii="Times New Roman" w:hAnsi="Times New Roman" w:cs="Times New Roman"/>
            <w:lang w:val="en-US"/>
          </w:rPr>
          <w:t>ru</w:t>
        </w:r>
      </w:hyperlink>
      <w:r w:rsidR="008E3C62">
        <w:rPr>
          <w:rFonts w:ascii="Times New Roman" w:hAnsi="Times New Roman" w:cs="Times New Roman"/>
        </w:rPr>
        <w:t xml:space="preserve"> ,</w:t>
      </w:r>
      <w:r w:rsidR="00A65510">
        <w:rPr>
          <w:rFonts w:ascii="Times New Roman" w:hAnsi="Times New Roman" w:cs="Times New Roman"/>
        </w:rPr>
        <w:t xml:space="preserve"> </w:t>
      </w:r>
    </w:p>
    <w:sectPr w:rsidR="002D4A3F" w:rsidRPr="00D524CE" w:rsidSect="004D764D">
      <w:pgSz w:w="11906" w:h="16838"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2857" w:rsidRDefault="00832857" w:rsidP="00EC65A3">
      <w:pPr>
        <w:spacing w:after="0" w:line="240" w:lineRule="auto"/>
      </w:pPr>
      <w:r>
        <w:separator/>
      </w:r>
    </w:p>
  </w:endnote>
  <w:endnote w:type="continuationSeparator" w:id="0">
    <w:p w:rsidR="00832857" w:rsidRDefault="00832857" w:rsidP="00EC65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2857" w:rsidRDefault="00832857" w:rsidP="00EC65A3">
      <w:pPr>
        <w:spacing w:after="0" w:line="240" w:lineRule="auto"/>
      </w:pPr>
      <w:r>
        <w:separator/>
      </w:r>
    </w:p>
  </w:footnote>
  <w:footnote w:type="continuationSeparator" w:id="0">
    <w:p w:rsidR="00832857" w:rsidRDefault="00832857" w:rsidP="00EC65A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11B9D"/>
    <w:multiLevelType w:val="hybridMultilevel"/>
    <w:tmpl w:val="5B30ADFC"/>
    <w:lvl w:ilvl="0" w:tplc="AD90001A">
      <w:start w:val="8400"/>
      <w:numFmt w:val="bullet"/>
      <w:lvlText w:val=""/>
      <w:lvlJc w:val="left"/>
      <w:pPr>
        <w:ind w:left="1080" w:hanging="360"/>
      </w:pPr>
      <w:rPr>
        <w:rFonts w:ascii="Symbol" w:eastAsiaTheme="minorHAnsi" w:hAnsi="Symbol"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
    <w:nsid w:val="08986B96"/>
    <w:multiLevelType w:val="hybridMultilevel"/>
    <w:tmpl w:val="15B644A0"/>
    <w:lvl w:ilvl="0" w:tplc="3B688328">
      <w:start w:val="8400"/>
      <w:numFmt w:val="bullet"/>
      <w:lvlText w:val=""/>
      <w:lvlJc w:val="left"/>
      <w:pPr>
        <w:ind w:left="720" w:hanging="360"/>
      </w:pPr>
      <w:rPr>
        <w:rFonts w:ascii="Symbol" w:eastAsiaTheme="minorHAns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0DA4121"/>
    <w:multiLevelType w:val="hybridMultilevel"/>
    <w:tmpl w:val="DCE834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0F75"/>
    <w:rsid w:val="00050515"/>
    <w:rsid w:val="00075E43"/>
    <w:rsid w:val="0008416A"/>
    <w:rsid w:val="00084A89"/>
    <w:rsid w:val="00095873"/>
    <w:rsid w:val="000B629F"/>
    <w:rsid w:val="000B7DBA"/>
    <w:rsid w:val="000D1A91"/>
    <w:rsid w:val="001111B6"/>
    <w:rsid w:val="0013057A"/>
    <w:rsid w:val="001459B1"/>
    <w:rsid w:val="001833BC"/>
    <w:rsid w:val="001A6960"/>
    <w:rsid w:val="001B0F75"/>
    <w:rsid w:val="001F0671"/>
    <w:rsid w:val="00203460"/>
    <w:rsid w:val="002223E3"/>
    <w:rsid w:val="0028109D"/>
    <w:rsid w:val="002A066A"/>
    <w:rsid w:val="002A5275"/>
    <w:rsid w:val="002D0F6B"/>
    <w:rsid w:val="002D4A3F"/>
    <w:rsid w:val="002F7247"/>
    <w:rsid w:val="00305658"/>
    <w:rsid w:val="00312426"/>
    <w:rsid w:val="0036442C"/>
    <w:rsid w:val="003744BE"/>
    <w:rsid w:val="003B5D5B"/>
    <w:rsid w:val="003C6FEF"/>
    <w:rsid w:val="003E0628"/>
    <w:rsid w:val="0042287C"/>
    <w:rsid w:val="0043136B"/>
    <w:rsid w:val="004645C8"/>
    <w:rsid w:val="0049203B"/>
    <w:rsid w:val="0049335B"/>
    <w:rsid w:val="004D6DC4"/>
    <w:rsid w:val="004D764D"/>
    <w:rsid w:val="00505848"/>
    <w:rsid w:val="00530D93"/>
    <w:rsid w:val="00535FEB"/>
    <w:rsid w:val="00542F27"/>
    <w:rsid w:val="005772ED"/>
    <w:rsid w:val="00577DD8"/>
    <w:rsid w:val="00592812"/>
    <w:rsid w:val="005928EA"/>
    <w:rsid w:val="005939D2"/>
    <w:rsid w:val="005B0377"/>
    <w:rsid w:val="005E208F"/>
    <w:rsid w:val="005F1210"/>
    <w:rsid w:val="00653760"/>
    <w:rsid w:val="00662455"/>
    <w:rsid w:val="00682F65"/>
    <w:rsid w:val="006959FF"/>
    <w:rsid w:val="00697A0B"/>
    <w:rsid w:val="006A03A4"/>
    <w:rsid w:val="006A140A"/>
    <w:rsid w:val="006A629E"/>
    <w:rsid w:val="006E1628"/>
    <w:rsid w:val="00703B6A"/>
    <w:rsid w:val="00711866"/>
    <w:rsid w:val="0071724C"/>
    <w:rsid w:val="00733242"/>
    <w:rsid w:val="00753427"/>
    <w:rsid w:val="00775B98"/>
    <w:rsid w:val="007E52C4"/>
    <w:rsid w:val="00832857"/>
    <w:rsid w:val="0083770A"/>
    <w:rsid w:val="008451AE"/>
    <w:rsid w:val="00845470"/>
    <w:rsid w:val="00877D6C"/>
    <w:rsid w:val="008C7F45"/>
    <w:rsid w:val="008D2570"/>
    <w:rsid w:val="008D4B2B"/>
    <w:rsid w:val="008E3C62"/>
    <w:rsid w:val="008F2266"/>
    <w:rsid w:val="008F7226"/>
    <w:rsid w:val="00907FD8"/>
    <w:rsid w:val="00910C92"/>
    <w:rsid w:val="00920672"/>
    <w:rsid w:val="009369D6"/>
    <w:rsid w:val="009725D9"/>
    <w:rsid w:val="00996BD4"/>
    <w:rsid w:val="009B7ED0"/>
    <w:rsid w:val="009E0E3D"/>
    <w:rsid w:val="009F71A4"/>
    <w:rsid w:val="00A015EE"/>
    <w:rsid w:val="00A22BAE"/>
    <w:rsid w:val="00A424DE"/>
    <w:rsid w:val="00A65510"/>
    <w:rsid w:val="00A65992"/>
    <w:rsid w:val="00A66DA8"/>
    <w:rsid w:val="00A759DF"/>
    <w:rsid w:val="00AA28FF"/>
    <w:rsid w:val="00AA3ADB"/>
    <w:rsid w:val="00AB6310"/>
    <w:rsid w:val="00AD0389"/>
    <w:rsid w:val="00AD7C8D"/>
    <w:rsid w:val="00AF0A5A"/>
    <w:rsid w:val="00B024EF"/>
    <w:rsid w:val="00B128E2"/>
    <w:rsid w:val="00B131BE"/>
    <w:rsid w:val="00B32C2A"/>
    <w:rsid w:val="00B416ED"/>
    <w:rsid w:val="00B55DCB"/>
    <w:rsid w:val="00B735B9"/>
    <w:rsid w:val="00B7670A"/>
    <w:rsid w:val="00B843B6"/>
    <w:rsid w:val="00B87575"/>
    <w:rsid w:val="00B9531A"/>
    <w:rsid w:val="00BB21E1"/>
    <w:rsid w:val="00BC3BBD"/>
    <w:rsid w:val="00BC48B3"/>
    <w:rsid w:val="00BC54D0"/>
    <w:rsid w:val="00BE27AA"/>
    <w:rsid w:val="00BE5B4A"/>
    <w:rsid w:val="00BF029A"/>
    <w:rsid w:val="00C0317D"/>
    <w:rsid w:val="00C03EE8"/>
    <w:rsid w:val="00C230DE"/>
    <w:rsid w:val="00C375E7"/>
    <w:rsid w:val="00C4114D"/>
    <w:rsid w:val="00C47DF4"/>
    <w:rsid w:val="00C509BF"/>
    <w:rsid w:val="00C629C8"/>
    <w:rsid w:val="00C72E4E"/>
    <w:rsid w:val="00C77199"/>
    <w:rsid w:val="00CA4ABD"/>
    <w:rsid w:val="00CD063C"/>
    <w:rsid w:val="00CD1FCA"/>
    <w:rsid w:val="00CD2269"/>
    <w:rsid w:val="00CD731A"/>
    <w:rsid w:val="00CD7F1B"/>
    <w:rsid w:val="00CE2380"/>
    <w:rsid w:val="00CE5B01"/>
    <w:rsid w:val="00CE63F2"/>
    <w:rsid w:val="00CF31DC"/>
    <w:rsid w:val="00D11766"/>
    <w:rsid w:val="00D17892"/>
    <w:rsid w:val="00D421B1"/>
    <w:rsid w:val="00D51B42"/>
    <w:rsid w:val="00D524CE"/>
    <w:rsid w:val="00D52A9F"/>
    <w:rsid w:val="00DD7ED9"/>
    <w:rsid w:val="00E030DD"/>
    <w:rsid w:val="00E13016"/>
    <w:rsid w:val="00E27307"/>
    <w:rsid w:val="00E27405"/>
    <w:rsid w:val="00E44421"/>
    <w:rsid w:val="00E67AD2"/>
    <w:rsid w:val="00E722AA"/>
    <w:rsid w:val="00E9084C"/>
    <w:rsid w:val="00EA08EB"/>
    <w:rsid w:val="00EA7D8B"/>
    <w:rsid w:val="00EC3B09"/>
    <w:rsid w:val="00EC65A3"/>
    <w:rsid w:val="00EC7ACD"/>
    <w:rsid w:val="00ED5D76"/>
    <w:rsid w:val="00EE7060"/>
    <w:rsid w:val="00F125C5"/>
    <w:rsid w:val="00F1317C"/>
    <w:rsid w:val="00F15CEF"/>
    <w:rsid w:val="00F23D44"/>
    <w:rsid w:val="00F55361"/>
    <w:rsid w:val="00F611E2"/>
    <w:rsid w:val="00F71734"/>
    <w:rsid w:val="00FC341B"/>
    <w:rsid w:val="00FF00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75B9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BC54D0"/>
    <w:rPr>
      <w:color w:val="0000FF" w:themeColor="hyperlink"/>
      <w:u w:val="single"/>
    </w:rPr>
  </w:style>
  <w:style w:type="paragraph" w:styleId="a5">
    <w:name w:val="List Paragraph"/>
    <w:basedOn w:val="a"/>
    <w:uiPriority w:val="34"/>
    <w:qFormat/>
    <w:rsid w:val="00577DD8"/>
    <w:pPr>
      <w:ind w:left="720"/>
      <w:contextualSpacing/>
    </w:pPr>
  </w:style>
  <w:style w:type="paragraph" w:styleId="a6">
    <w:name w:val="header"/>
    <w:basedOn w:val="a"/>
    <w:link w:val="a7"/>
    <w:uiPriority w:val="99"/>
    <w:unhideWhenUsed/>
    <w:rsid w:val="00EC65A3"/>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EC65A3"/>
  </w:style>
  <w:style w:type="paragraph" w:styleId="a8">
    <w:name w:val="footer"/>
    <w:basedOn w:val="a"/>
    <w:link w:val="a9"/>
    <w:uiPriority w:val="99"/>
    <w:unhideWhenUsed/>
    <w:rsid w:val="00EC65A3"/>
    <w:pPr>
      <w:tabs>
        <w:tab w:val="center" w:pos="4677"/>
        <w:tab w:val="right" w:pos="9355"/>
      </w:tabs>
      <w:spacing w:after="0" w:line="240" w:lineRule="auto"/>
    </w:pPr>
  </w:style>
  <w:style w:type="character" w:customStyle="1" w:styleId="a9">
    <w:name w:val="Нижний колонтитул Знак"/>
    <w:basedOn w:val="a0"/>
    <w:link w:val="a8"/>
    <w:uiPriority w:val="99"/>
    <w:rsid w:val="00EC65A3"/>
  </w:style>
  <w:style w:type="table" w:styleId="aa">
    <w:name w:val="Table Grid"/>
    <w:basedOn w:val="a1"/>
    <w:uiPriority w:val="59"/>
    <w:rsid w:val="006A03A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Balloon Text"/>
    <w:basedOn w:val="a"/>
    <w:link w:val="ac"/>
    <w:uiPriority w:val="99"/>
    <w:semiHidden/>
    <w:unhideWhenUsed/>
    <w:rsid w:val="00E44421"/>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E4442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75B9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BC54D0"/>
    <w:rPr>
      <w:color w:val="0000FF" w:themeColor="hyperlink"/>
      <w:u w:val="single"/>
    </w:rPr>
  </w:style>
  <w:style w:type="paragraph" w:styleId="a5">
    <w:name w:val="List Paragraph"/>
    <w:basedOn w:val="a"/>
    <w:uiPriority w:val="34"/>
    <w:qFormat/>
    <w:rsid w:val="00577DD8"/>
    <w:pPr>
      <w:ind w:left="720"/>
      <w:contextualSpacing/>
    </w:pPr>
  </w:style>
  <w:style w:type="paragraph" w:styleId="a6">
    <w:name w:val="header"/>
    <w:basedOn w:val="a"/>
    <w:link w:val="a7"/>
    <w:uiPriority w:val="99"/>
    <w:unhideWhenUsed/>
    <w:rsid w:val="00EC65A3"/>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EC65A3"/>
  </w:style>
  <w:style w:type="paragraph" w:styleId="a8">
    <w:name w:val="footer"/>
    <w:basedOn w:val="a"/>
    <w:link w:val="a9"/>
    <w:uiPriority w:val="99"/>
    <w:unhideWhenUsed/>
    <w:rsid w:val="00EC65A3"/>
    <w:pPr>
      <w:tabs>
        <w:tab w:val="center" w:pos="4677"/>
        <w:tab w:val="right" w:pos="9355"/>
      </w:tabs>
      <w:spacing w:after="0" w:line="240" w:lineRule="auto"/>
    </w:pPr>
  </w:style>
  <w:style w:type="character" w:customStyle="1" w:styleId="a9">
    <w:name w:val="Нижний колонтитул Знак"/>
    <w:basedOn w:val="a0"/>
    <w:link w:val="a8"/>
    <w:uiPriority w:val="99"/>
    <w:rsid w:val="00EC65A3"/>
  </w:style>
  <w:style w:type="table" w:styleId="aa">
    <w:name w:val="Table Grid"/>
    <w:basedOn w:val="a1"/>
    <w:uiPriority w:val="59"/>
    <w:rsid w:val="006A03A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Balloon Text"/>
    <w:basedOn w:val="a"/>
    <w:link w:val="ac"/>
    <w:uiPriority w:val="99"/>
    <w:semiHidden/>
    <w:unhideWhenUsed/>
    <w:rsid w:val="00E44421"/>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E4442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8622466">
      <w:bodyDiv w:val="1"/>
      <w:marLeft w:val="0"/>
      <w:marRight w:val="0"/>
      <w:marTop w:val="0"/>
      <w:marBottom w:val="0"/>
      <w:divBdr>
        <w:top w:val="none" w:sz="0" w:space="0" w:color="auto"/>
        <w:left w:val="none" w:sz="0" w:space="0" w:color="auto"/>
        <w:bottom w:val="none" w:sz="0" w:space="0" w:color="auto"/>
        <w:right w:val="none" w:sz="0" w:space="0" w:color="auto"/>
      </w:divBdr>
    </w:div>
    <w:div w:id="1736275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arro116@mail.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roltpower.ru/equipment/mwm/tcg-2032-v16/" TargetMode="External"/><Relationship Id="rId5" Type="http://schemas.openxmlformats.org/officeDocument/2006/relationships/webSettings" Target="webSettings.xml"/><Relationship Id="rId10" Type="http://schemas.openxmlformats.org/officeDocument/2006/relationships/hyperlink" Target="http://www.mwm-russia.ru/tcg_2032.php" TargetMode="Externa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Excel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_____Microsoft_Excel2.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scatterChart>
        <c:scatterStyle val="smoothMarker"/>
        <c:varyColors val="0"/>
        <c:ser>
          <c:idx val="0"/>
          <c:order val="0"/>
          <c:tx>
            <c:strRef>
              <c:f>Лист1!$B$1</c:f>
              <c:strCache>
                <c:ptCount val="1"/>
                <c:pt idx="0">
                  <c:v>SGT-100-1S</c:v>
                </c:pt>
              </c:strCache>
            </c:strRef>
          </c:tx>
          <c:marker>
            <c:symbol val="none"/>
          </c:marker>
          <c:xVal>
            <c:numRef>
              <c:f>Лист1!$A$2:$A$4</c:f>
              <c:numCache>
                <c:formatCode>General</c:formatCode>
                <c:ptCount val="3"/>
                <c:pt idx="0">
                  <c:v>50</c:v>
                </c:pt>
                <c:pt idx="1">
                  <c:v>75</c:v>
                </c:pt>
                <c:pt idx="2">
                  <c:v>100</c:v>
                </c:pt>
              </c:numCache>
            </c:numRef>
          </c:xVal>
          <c:yVal>
            <c:numRef>
              <c:f>Лист1!$B$2:$B$4</c:f>
              <c:numCache>
                <c:formatCode>General</c:formatCode>
                <c:ptCount val="3"/>
                <c:pt idx="0">
                  <c:v>25.2</c:v>
                </c:pt>
                <c:pt idx="1">
                  <c:v>28.6</c:v>
                </c:pt>
                <c:pt idx="2">
                  <c:v>30.3</c:v>
                </c:pt>
              </c:numCache>
            </c:numRef>
          </c:yVal>
          <c:smooth val="1"/>
        </c:ser>
        <c:ser>
          <c:idx val="1"/>
          <c:order val="1"/>
          <c:tx>
            <c:strRef>
              <c:f>Лист1!$C$1</c:f>
              <c:strCache>
                <c:ptCount val="1"/>
                <c:pt idx="0">
                  <c:v>SGT-300</c:v>
                </c:pt>
              </c:strCache>
            </c:strRef>
          </c:tx>
          <c:marker>
            <c:symbol val="none"/>
          </c:marker>
          <c:xVal>
            <c:numRef>
              <c:f>Лист1!$A$2:$A$4</c:f>
              <c:numCache>
                <c:formatCode>General</c:formatCode>
                <c:ptCount val="3"/>
                <c:pt idx="0">
                  <c:v>50</c:v>
                </c:pt>
                <c:pt idx="1">
                  <c:v>75</c:v>
                </c:pt>
                <c:pt idx="2">
                  <c:v>100</c:v>
                </c:pt>
              </c:numCache>
            </c:numRef>
          </c:xVal>
          <c:yVal>
            <c:numRef>
              <c:f>Лист1!$C$2:$C$4</c:f>
              <c:numCache>
                <c:formatCode>General</c:formatCode>
                <c:ptCount val="3"/>
                <c:pt idx="0">
                  <c:v>25</c:v>
                </c:pt>
                <c:pt idx="1">
                  <c:v>28.9</c:v>
                </c:pt>
                <c:pt idx="2">
                  <c:v>31.1</c:v>
                </c:pt>
              </c:numCache>
            </c:numRef>
          </c:yVal>
          <c:smooth val="1"/>
        </c:ser>
        <c:ser>
          <c:idx val="2"/>
          <c:order val="2"/>
          <c:tx>
            <c:strRef>
              <c:f>Лист1!$D$1</c:f>
              <c:strCache>
                <c:ptCount val="1"/>
                <c:pt idx="0">
                  <c:v>SGT-400</c:v>
                </c:pt>
              </c:strCache>
            </c:strRef>
          </c:tx>
          <c:marker>
            <c:symbol val="none"/>
          </c:marker>
          <c:xVal>
            <c:numRef>
              <c:f>Лист1!$A$2:$A$4</c:f>
              <c:numCache>
                <c:formatCode>General</c:formatCode>
                <c:ptCount val="3"/>
                <c:pt idx="0">
                  <c:v>50</c:v>
                </c:pt>
                <c:pt idx="1">
                  <c:v>75</c:v>
                </c:pt>
                <c:pt idx="2">
                  <c:v>100</c:v>
                </c:pt>
              </c:numCache>
            </c:numRef>
          </c:xVal>
          <c:yVal>
            <c:numRef>
              <c:f>Лист1!$D$2:$D$4</c:f>
              <c:numCache>
                <c:formatCode>General</c:formatCode>
                <c:ptCount val="3"/>
                <c:pt idx="0">
                  <c:v>28.3</c:v>
                </c:pt>
                <c:pt idx="1">
                  <c:v>32.1</c:v>
                </c:pt>
                <c:pt idx="2">
                  <c:v>34.9</c:v>
                </c:pt>
              </c:numCache>
            </c:numRef>
          </c:yVal>
          <c:smooth val="1"/>
        </c:ser>
        <c:dLbls>
          <c:showLegendKey val="0"/>
          <c:showVal val="0"/>
          <c:showCatName val="0"/>
          <c:showSerName val="0"/>
          <c:showPercent val="0"/>
          <c:showBubbleSize val="0"/>
        </c:dLbls>
        <c:axId val="137136000"/>
        <c:axId val="137138176"/>
      </c:scatterChart>
      <c:valAx>
        <c:axId val="137136000"/>
        <c:scaling>
          <c:orientation val="minMax"/>
          <c:max val="100"/>
          <c:min val="0"/>
        </c:scaling>
        <c:delete val="0"/>
        <c:axPos val="b"/>
        <c:majorGridlines/>
        <c:minorGridlines/>
        <c:title>
          <c:tx>
            <c:rich>
              <a:bodyPr/>
              <a:lstStyle/>
              <a:p>
                <a:pPr>
                  <a:defRPr/>
                </a:pPr>
                <a:r>
                  <a:rPr lang="ru-RU"/>
                  <a:t>Нагрузка,</a:t>
                </a:r>
                <a:r>
                  <a:rPr lang="ru-RU" baseline="0"/>
                  <a:t> % от </a:t>
                </a:r>
                <a:r>
                  <a:rPr lang="en-US" baseline="0"/>
                  <a:t>N</a:t>
                </a:r>
                <a:r>
                  <a:rPr lang="ru-RU" baseline="-25000"/>
                  <a:t>ном</a:t>
                </a:r>
                <a:endParaRPr lang="ru-RU"/>
              </a:p>
            </c:rich>
          </c:tx>
          <c:overlay val="0"/>
        </c:title>
        <c:numFmt formatCode="General" sourceLinked="1"/>
        <c:majorTickMark val="out"/>
        <c:minorTickMark val="none"/>
        <c:tickLblPos val="nextTo"/>
        <c:crossAx val="137138176"/>
        <c:crosses val="autoZero"/>
        <c:crossBetween val="midCat"/>
        <c:majorUnit val="25"/>
        <c:minorUnit val="5"/>
      </c:valAx>
      <c:valAx>
        <c:axId val="137138176"/>
        <c:scaling>
          <c:orientation val="minMax"/>
          <c:max val="50"/>
          <c:min val="20"/>
        </c:scaling>
        <c:delete val="0"/>
        <c:axPos val="l"/>
        <c:majorGridlines/>
        <c:minorGridlines/>
        <c:title>
          <c:tx>
            <c:rich>
              <a:bodyPr rot="0" vert="horz"/>
              <a:lstStyle/>
              <a:p>
                <a:pPr>
                  <a:defRPr/>
                </a:pPr>
                <a:r>
                  <a:rPr lang="ru-RU">
                    <a:latin typeface="Times New Roman"/>
                    <a:cs typeface="Times New Roman"/>
                  </a:rPr>
                  <a:t>η</a:t>
                </a:r>
                <a:r>
                  <a:rPr lang="ru-RU" baseline="-25000">
                    <a:latin typeface="Times New Roman"/>
                    <a:cs typeface="Times New Roman"/>
                  </a:rPr>
                  <a:t>э</a:t>
                </a:r>
                <a:r>
                  <a:rPr lang="ru-RU">
                    <a:latin typeface="Times New Roman"/>
                    <a:cs typeface="Times New Roman"/>
                  </a:rPr>
                  <a:t>, %</a:t>
                </a:r>
                <a:endParaRPr lang="ru-RU"/>
              </a:p>
            </c:rich>
          </c:tx>
          <c:overlay val="0"/>
        </c:title>
        <c:numFmt formatCode="General" sourceLinked="1"/>
        <c:majorTickMark val="out"/>
        <c:minorTickMark val="none"/>
        <c:tickLblPos val="nextTo"/>
        <c:crossAx val="137136000"/>
        <c:crosses val="autoZero"/>
        <c:crossBetween val="midCat"/>
        <c:majorUnit val="5"/>
        <c:minorUnit val="1"/>
      </c:valAx>
    </c:plotArea>
    <c:legend>
      <c:legendPos val="r"/>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scatterChart>
        <c:scatterStyle val="smoothMarker"/>
        <c:varyColors val="0"/>
        <c:ser>
          <c:idx val="0"/>
          <c:order val="0"/>
          <c:tx>
            <c:strRef>
              <c:f>Лист1!$B$1</c:f>
              <c:strCache>
                <c:ptCount val="1"/>
                <c:pt idx="0">
                  <c:v>G3516C LE</c:v>
                </c:pt>
              </c:strCache>
            </c:strRef>
          </c:tx>
          <c:marker>
            <c:symbol val="none"/>
          </c:marker>
          <c:xVal>
            <c:numRef>
              <c:f>Лист1!$A$2:$A$4</c:f>
              <c:numCache>
                <c:formatCode>General</c:formatCode>
                <c:ptCount val="3"/>
                <c:pt idx="0">
                  <c:v>50</c:v>
                </c:pt>
                <c:pt idx="1">
                  <c:v>75</c:v>
                </c:pt>
                <c:pt idx="2">
                  <c:v>100</c:v>
                </c:pt>
              </c:numCache>
            </c:numRef>
          </c:xVal>
          <c:yVal>
            <c:numRef>
              <c:f>Лист1!$B$2:$B$4</c:f>
              <c:numCache>
                <c:formatCode>General</c:formatCode>
                <c:ptCount val="3"/>
                <c:pt idx="0">
                  <c:v>36.9</c:v>
                </c:pt>
                <c:pt idx="1">
                  <c:v>38.6</c:v>
                </c:pt>
                <c:pt idx="2">
                  <c:v>39.299999999999997</c:v>
                </c:pt>
              </c:numCache>
            </c:numRef>
          </c:yVal>
          <c:smooth val="1"/>
        </c:ser>
        <c:ser>
          <c:idx val="1"/>
          <c:order val="1"/>
          <c:tx>
            <c:strRef>
              <c:f>Лист1!$C$1</c:f>
              <c:strCache>
                <c:ptCount val="1"/>
                <c:pt idx="0">
                  <c:v>TCG 2032 V16</c:v>
                </c:pt>
              </c:strCache>
            </c:strRef>
          </c:tx>
          <c:marker>
            <c:symbol val="none"/>
          </c:marker>
          <c:xVal>
            <c:numRef>
              <c:f>Лист1!$A$2:$A$4</c:f>
              <c:numCache>
                <c:formatCode>General</c:formatCode>
                <c:ptCount val="3"/>
                <c:pt idx="0">
                  <c:v>50</c:v>
                </c:pt>
                <c:pt idx="1">
                  <c:v>75</c:v>
                </c:pt>
                <c:pt idx="2">
                  <c:v>100</c:v>
                </c:pt>
              </c:numCache>
            </c:numRef>
          </c:xVal>
          <c:yVal>
            <c:numRef>
              <c:f>Лист1!$C$2:$C$4</c:f>
              <c:numCache>
                <c:formatCode>General</c:formatCode>
                <c:ptCount val="3"/>
                <c:pt idx="0">
                  <c:v>40.5</c:v>
                </c:pt>
                <c:pt idx="1">
                  <c:v>41.9</c:v>
                </c:pt>
                <c:pt idx="2">
                  <c:v>43.5</c:v>
                </c:pt>
              </c:numCache>
            </c:numRef>
          </c:yVal>
          <c:smooth val="1"/>
        </c:ser>
        <c:ser>
          <c:idx val="2"/>
          <c:order val="2"/>
          <c:tx>
            <c:strRef>
              <c:f>Лист1!$D$1</c:f>
              <c:strCache>
                <c:ptCount val="1"/>
                <c:pt idx="0">
                  <c:v>G16CM34</c:v>
                </c:pt>
              </c:strCache>
            </c:strRef>
          </c:tx>
          <c:marker>
            <c:symbol val="none"/>
          </c:marker>
          <c:xVal>
            <c:numRef>
              <c:f>Лист1!$A$2:$A$4</c:f>
              <c:numCache>
                <c:formatCode>General</c:formatCode>
                <c:ptCount val="3"/>
                <c:pt idx="0">
                  <c:v>50</c:v>
                </c:pt>
                <c:pt idx="1">
                  <c:v>75</c:v>
                </c:pt>
                <c:pt idx="2">
                  <c:v>100</c:v>
                </c:pt>
              </c:numCache>
            </c:numRef>
          </c:xVal>
          <c:yVal>
            <c:numRef>
              <c:f>Лист1!$D$2:$D$4</c:f>
              <c:numCache>
                <c:formatCode>General</c:formatCode>
                <c:ptCount val="3"/>
                <c:pt idx="0">
                  <c:v>37.9</c:v>
                </c:pt>
                <c:pt idx="1">
                  <c:v>41.2</c:v>
                </c:pt>
                <c:pt idx="2">
                  <c:v>44.2</c:v>
                </c:pt>
              </c:numCache>
            </c:numRef>
          </c:yVal>
          <c:smooth val="1"/>
        </c:ser>
        <c:dLbls>
          <c:showLegendKey val="0"/>
          <c:showVal val="0"/>
          <c:showCatName val="0"/>
          <c:showSerName val="0"/>
          <c:showPercent val="0"/>
          <c:showBubbleSize val="0"/>
        </c:dLbls>
        <c:axId val="137020928"/>
        <c:axId val="137022848"/>
      </c:scatterChart>
      <c:valAx>
        <c:axId val="137020928"/>
        <c:scaling>
          <c:orientation val="minMax"/>
          <c:max val="100"/>
          <c:min val="0"/>
        </c:scaling>
        <c:delete val="0"/>
        <c:axPos val="b"/>
        <c:majorGridlines/>
        <c:minorGridlines/>
        <c:title>
          <c:tx>
            <c:rich>
              <a:bodyPr/>
              <a:lstStyle/>
              <a:p>
                <a:pPr>
                  <a:defRPr/>
                </a:pPr>
                <a:r>
                  <a:rPr lang="ru-RU"/>
                  <a:t>Нагрузка,</a:t>
                </a:r>
                <a:r>
                  <a:rPr lang="ru-RU" baseline="0"/>
                  <a:t> % от </a:t>
                </a:r>
                <a:r>
                  <a:rPr lang="en-US" baseline="0"/>
                  <a:t>N</a:t>
                </a:r>
                <a:r>
                  <a:rPr lang="ru-RU" baseline="-25000"/>
                  <a:t>ном</a:t>
                </a:r>
                <a:endParaRPr lang="ru-RU"/>
              </a:p>
            </c:rich>
          </c:tx>
          <c:overlay val="0"/>
        </c:title>
        <c:numFmt formatCode="General" sourceLinked="1"/>
        <c:majorTickMark val="out"/>
        <c:minorTickMark val="none"/>
        <c:tickLblPos val="nextTo"/>
        <c:crossAx val="137022848"/>
        <c:crosses val="autoZero"/>
        <c:crossBetween val="midCat"/>
        <c:majorUnit val="25"/>
        <c:minorUnit val="5"/>
      </c:valAx>
      <c:valAx>
        <c:axId val="137022848"/>
        <c:scaling>
          <c:orientation val="minMax"/>
          <c:max val="50"/>
          <c:min val="20"/>
        </c:scaling>
        <c:delete val="0"/>
        <c:axPos val="l"/>
        <c:majorGridlines/>
        <c:minorGridlines/>
        <c:title>
          <c:tx>
            <c:rich>
              <a:bodyPr rot="0" vert="horz"/>
              <a:lstStyle/>
              <a:p>
                <a:pPr>
                  <a:defRPr/>
                </a:pPr>
                <a:r>
                  <a:rPr lang="ru-RU">
                    <a:latin typeface="Times New Roman"/>
                    <a:cs typeface="Times New Roman"/>
                  </a:rPr>
                  <a:t>η</a:t>
                </a:r>
                <a:r>
                  <a:rPr lang="ru-RU" baseline="-25000">
                    <a:latin typeface="Times New Roman"/>
                    <a:cs typeface="Times New Roman"/>
                  </a:rPr>
                  <a:t>э</a:t>
                </a:r>
                <a:r>
                  <a:rPr lang="ru-RU" baseline="0">
                    <a:latin typeface="Times New Roman"/>
                    <a:cs typeface="Times New Roman"/>
                  </a:rPr>
                  <a:t>, %</a:t>
                </a:r>
                <a:endParaRPr lang="ru-RU"/>
              </a:p>
            </c:rich>
          </c:tx>
          <c:overlay val="0"/>
        </c:title>
        <c:numFmt formatCode="General" sourceLinked="1"/>
        <c:majorTickMark val="out"/>
        <c:minorTickMark val="none"/>
        <c:tickLblPos val="nextTo"/>
        <c:crossAx val="137020928"/>
        <c:crosses val="autoZero"/>
        <c:crossBetween val="midCat"/>
        <c:majorUnit val="5"/>
        <c:minorUnit val="1"/>
      </c:valAx>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512</TotalTime>
  <Pages>4</Pages>
  <Words>1562</Words>
  <Characters>8907</Characters>
  <Application>Microsoft Office Word</Application>
  <DocSecurity>0</DocSecurity>
  <Lines>74</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10449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KRUTOI_PC</dc:creator>
  <cp:lastModifiedBy>Admin</cp:lastModifiedBy>
  <cp:revision>33</cp:revision>
  <dcterms:created xsi:type="dcterms:W3CDTF">2015-06-19T17:37:00Z</dcterms:created>
  <dcterms:modified xsi:type="dcterms:W3CDTF">2015-06-29T08:52:00Z</dcterms:modified>
</cp:coreProperties>
</file>