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2E" w:rsidRPr="00BE4F90" w:rsidRDefault="0049762E" w:rsidP="00BE4F90">
      <w:pPr>
        <w:ind w:firstLine="0"/>
      </w:pPr>
      <w:r>
        <w:t xml:space="preserve">УДК </w:t>
      </w:r>
      <w:r w:rsidRPr="004C0DEA">
        <w:t>621.365.2</w:t>
      </w:r>
    </w:p>
    <w:p w:rsidR="0049762E" w:rsidRPr="00816AAE" w:rsidRDefault="0049762E" w:rsidP="00355C57">
      <w:pPr>
        <w:pStyle w:val="a5"/>
      </w:pPr>
      <w:r>
        <w:t>Влияние рукавов электрододержателя на активное сопротивление трубошинного участка токоподвода</w:t>
      </w:r>
      <w:r w:rsidRPr="006A4DC0">
        <w:t xml:space="preserve"> </w:t>
      </w:r>
      <w:r>
        <w:t>дуговой сталеплавильной печи</w:t>
      </w:r>
      <w:r w:rsidRPr="00816AAE">
        <w:t xml:space="preserve"> </w:t>
      </w:r>
    </w:p>
    <w:p w:rsidR="0049762E" w:rsidRPr="00BE4F90" w:rsidRDefault="0049762E" w:rsidP="00925A65"/>
    <w:p w:rsidR="0049762E" w:rsidRDefault="0049762E" w:rsidP="00BE4F90">
      <w:pPr>
        <w:jc w:val="right"/>
        <w:rPr>
          <w:b/>
        </w:rPr>
      </w:pPr>
      <w:r w:rsidRPr="00BE4F90">
        <w:rPr>
          <w:b/>
        </w:rPr>
        <w:t>Власов</w:t>
      </w:r>
      <w:r w:rsidR="004B7AF7" w:rsidRPr="004B7AF7">
        <w:rPr>
          <w:b/>
        </w:rPr>
        <w:t xml:space="preserve"> </w:t>
      </w:r>
      <w:r w:rsidR="004B7AF7" w:rsidRPr="00BE4F90">
        <w:rPr>
          <w:b/>
        </w:rPr>
        <w:t>Д. С. </w:t>
      </w:r>
      <w:r w:rsidRPr="00BE4F90">
        <w:rPr>
          <w:b/>
        </w:rPr>
        <w:t>,. Бикеев</w:t>
      </w:r>
      <w:r w:rsidR="004B7AF7" w:rsidRPr="004B7AF7">
        <w:rPr>
          <w:b/>
        </w:rPr>
        <w:t xml:space="preserve"> </w:t>
      </w:r>
      <w:r w:rsidR="004B7AF7" w:rsidRPr="00BE4F90">
        <w:rPr>
          <w:b/>
        </w:rPr>
        <w:t>Р. А</w:t>
      </w:r>
      <w:r w:rsidRPr="00BE4F90">
        <w:rPr>
          <w:b/>
        </w:rPr>
        <w:t>, Сериков</w:t>
      </w:r>
      <w:r w:rsidR="004B7AF7" w:rsidRPr="004B7AF7">
        <w:rPr>
          <w:b/>
        </w:rPr>
        <w:t xml:space="preserve"> </w:t>
      </w:r>
      <w:r w:rsidR="004B7AF7" w:rsidRPr="00BE4F90">
        <w:rPr>
          <w:b/>
        </w:rPr>
        <w:t>В. А.</w:t>
      </w:r>
      <w:r w:rsidRPr="00BE4F90">
        <w:rPr>
          <w:b/>
        </w:rPr>
        <w:t>, Добров</w:t>
      </w:r>
      <w:r>
        <w:rPr>
          <w:b/>
        </w:rPr>
        <w:t xml:space="preserve"> </w:t>
      </w:r>
      <w:r w:rsidR="004B7AF7" w:rsidRPr="00BE4F90">
        <w:rPr>
          <w:b/>
        </w:rPr>
        <w:t>А.Н.</w:t>
      </w:r>
    </w:p>
    <w:p w:rsidR="0049762E" w:rsidRPr="00BE4F90" w:rsidRDefault="0049762E" w:rsidP="00BE4F90">
      <w:pPr>
        <w:jc w:val="right"/>
        <w:rPr>
          <w:i/>
        </w:rPr>
      </w:pPr>
      <w:r>
        <w:rPr>
          <w:i/>
        </w:rPr>
        <w:t xml:space="preserve">Россия, Новосибирск, НГТУ </w:t>
      </w:r>
    </w:p>
    <w:p w:rsidR="0049762E" w:rsidRPr="004B7AF7" w:rsidRDefault="0049762E" w:rsidP="004B7AF7">
      <w:pPr>
        <w:pStyle w:val="af7"/>
        <w:ind w:firstLine="708"/>
        <w:rPr>
          <w:i/>
          <w:sz w:val="20"/>
        </w:rPr>
      </w:pPr>
      <w:r w:rsidRPr="004B7AF7">
        <w:rPr>
          <w:i/>
          <w:sz w:val="20"/>
        </w:rPr>
        <w:t xml:space="preserve">В статье приведен метод расчета коэффициента добавочных потерь (КДП) для учета металлоконструкций, лежащих вблизи токоведущих элементов, на электрические параметры токоподвода. Приведены результаты численного моделирования для трехфазной 100-тонной дуговой сталеплавильной печи в виде зависимостей активного сопротивления участка и КДП от геометрии участка токоподвода и свойств рукавов. Результаты подтверждены экспериментальными данными. </w:t>
      </w:r>
    </w:p>
    <w:p w:rsidR="0049762E" w:rsidRPr="004B7AF7" w:rsidRDefault="0049762E" w:rsidP="004B7AF7">
      <w:pPr>
        <w:pStyle w:val="af7"/>
        <w:ind w:firstLine="708"/>
        <w:rPr>
          <w:i/>
          <w:sz w:val="20"/>
        </w:rPr>
      </w:pPr>
      <w:r w:rsidRPr="004B7AF7">
        <w:rPr>
          <w:i/>
          <w:sz w:val="20"/>
        </w:rPr>
        <w:t xml:space="preserve">Ключевые слова: дуговая сталеплавильная печь, коэффициент добавочных потерь, рукав электрододержателя, трубошины, схема замещения электропечного контура, мощные электротехнологические установки </w:t>
      </w:r>
    </w:p>
    <w:p w:rsidR="0049762E" w:rsidRPr="004B7AF7" w:rsidRDefault="0049762E" w:rsidP="00317976">
      <w:pPr>
        <w:pStyle w:val="af7"/>
        <w:rPr>
          <w:i/>
          <w:sz w:val="20"/>
        </w:rPr>
      </w:pPr>
    </w:p>
    <w:p w:rsidR="0049762E" w:rsidRPr="004B7AF7" w:rsidRDefault="0049762E" w:rsidP="004B7AF7">
      <w:pPr>
        <w:pStyle w:val="af7"/>
        <w:ind w:firstLine="708"/>
        <w:rPr>
          <w:i/>
          <w:sz w:val="20"/>
          <w:lang w:val="en-US"/>
        </w:rPr>
      </w:pPr>
      <w:r w:rsidRPr="004B7AF7">
        <w:rPr>
          <w:i/>
          <w:sz w:val="20"/>
          <w:lang w:val="en-US"/>
        </w:rPr>
        <w:t xml:space="preserve">In the article is shown method of calculation of coefficient of additional losses (CAL) to take into account influence of metallic constructions on electrical parameters of current-lead. There are also shown results of numerical simulation for three-phase arc steel furnace of 100 ton capacity in form of graphs of dependences of active resistance and CAL on geometry of current-lead partition and properties of the arms. The results are verified by experimental data. </w:t>
      </w:r>
    </w:p>
    <w:p w:rsidR="0049762E" w:rsidRPr="004B7AF7" w:rsidRDefault="0049762E" w:rsidP="004B7AF7">
      <w:pPr>
        <w:pStyle w:val="af7"/>
        <w:ind w:firstLine="708"/>
        <w:rPr>
          <w:i/>
          <w:sz w:val="20"/>
          <w:lang w:val="en-US"/>
        </w:rPr>
      </w:pPr>
      <w:r w:rsidRPr="004B7AF7">
        <w:rPr>
          <w:i/>
          <w:sz w:val="20"/>
          <w:lang w:val="en-US"/>
        </w:rPr>
        <w:t xml:space="preserve">Key-words: electric arc furnace, coefficient of additional loses, electrode holding arm, tubular bus, equivalent circuit of furnace, powerful electrotechnological installations </w:t>
      </w:r>
    </w:p>
    <w:p w:rsidR="0049762E" w:rsidRDefault="0049762E" w:rsidP="00BC7738">
      <w:r>
        <w:t>Для расчета электрических, рабочих, эксплуатационных характеристик проектируемой ДСП, а также для разработки технологического процесса  необходимо знать</w:t>
      </w:r>
      <w:r w:rsidRPr="00EF7CF6">
        <w:t xml:space="preserve"> </w:t>
      </w:r>
      <w:r>
        <w:t xml:space="preserve">активные сопротивления элементов токоподвода, входящие в электрическую схему замещения печного контура. </w:t>
      </w:r>
    </w:p>
    <w:p w:rsidR="0049762E" w:rsidRDefault="0049762E" w:rsidP="0068229C">
      <w:r>
        <w:t xml:space="preserve">Существует общеизвестная инженерная методика расчета активных сопротивлений токоподвода мощных электротехнологических установок,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эти дополнительные потери учитываются с помощью коэффициент добавочных потерь (КДП) </w:t>
      </w:r>
      <w:r w:rsidRPr="00CE1F01">
        <w:rPr>
          <w:noProof/>
        </w:rPr>
        <w:t>[1]</w:t>
      </w:r>
      <w:r>
        <w:t xml:space="preserve">. Данный коэффициент введен только для ферромагнитных металлоконструкций, расположенных вблизи токоведущих проводников. Рекомендуемое значение КДП в этой методике составляет 1.15. </w:t>
      </w:r>
    </w:p>
    <w:p w:rsidR="0049762E" w:rsidRDefault="0049762E" w:rsidP="0068229C">
      <w:r>
        <w:t xml:space="preserve">Инженерных методик точного учета влияния металлоконструкций на активное сопротивление токоподвода на данный момент не существует. Однако исследовательские работы в этом направлении ведутся давно. В 1960 – 1970 гг. во ВНИИЭТО были </w:t>
      </w:r>
      <w:r w:rsidRPr="00110631">
        <w:t>выполнены исследования по определению электрических потерь в рукавах и стойках электрододержателей дуговых сталепла</w:t>
      </w:r>
      <w:r>
        <w:t>вильных печей ДСП-100 и ДСП-200, изготовленных</w:t>
      </w:r>
      <w:r w:rsidRPr="00110631">
        <w:t xml:space="preserve"> из конструкционной магнитной и немагнитной стали </w:t>
      </w:r>
      <w:r>
        <w:t>[2, </w:t>
      </w:r>
      <w:r w:rsidRPr="00CE1F01">
        <w:t>3]</w:t>
      </w:r>
      <w:r w:rsidRPr="00110631">
        <w:t xml:space="preserve">. </w:t>
      </w:r>
    </w:p>
    <w:p w:rsidR="0049762E" w:rsidRDefault="0049762E" w:rsidP="0068229C">
      <w:r>
        <w:t xml:space="preserve">Физическое моделирование – надежный, хорошо зарекомендовавший себя метод. Однако он требует изготовления, хоть и в уменьшенном масштабе, исследуемого объекта. В случае дуговых сталеплавильных печей стоимость таких работ весьма велика. </w:t>
      </w:r>
    </w:p>
    <w:p w:rsidR="00FB79CB" w:rsidRPr="004B7AF7" w:rsidRDefault="0049762E" w:rsidP="00FB79CB">
      <w:r>
        <w:t xml:space="preserve">Исследования, подобные </w:t>
      </w:r>
      <w:proofErr w:type="gramStart"/>
      <w:r>
        <w:t>приведенным</w:t>
      </w:r>
      <w:proofErr w:type="gramEnd"/>
      <w:r>
        <w:t xml:space="preserve"> выше, можно в настоящее время проводить методами численного моделирования. </w:t>
      </w:r>
    </w:p>
    <w:p w:rsidR="00FB79CB" w:rsidRDefault="00FB79CB" w:rsidP="00FB79CB">
      <w:r>
        <w:t xml:space="preserve">Для этого в программном пакете конечно-элементного численного моделирования </w:t>
      </w:r>
      <w:r>
        <w:rPr>
          <w:lang w:val="en-US"/>
        </w:rPr>
        <w:t>ANSYS</w:t>
      </w:r>
      <w:r w:rsidRPr="00BA0960">
        <w:t xml:space="preserve"> </w:t>
      </w:r>
      <w:r>
        <w:t>была построена базовая геометрическая модель с использованием чертежей реальной установки ДСП-100 И</w:t>
      </w:r>
      <w:proofErr w:type="gramStart"/>
      <w:r>
        <w:t>6</w:t>
      </w:r>
      <w:proofErr w:type="gramEnd"/>
      <w:r>
        <w:t xml:space="preserve">, приведенная на рисунке 1. </w:t>
      </w:r>
    </w:p>
    <w:p w:rsidR="0049762E" w:rsidRDefault="00FB79CB" w:rsidP="00FB79CB">
      <w:r>
        <w:t xml:space="preserve">При формировании допущений численной модели две трубошины, относящиеся к одной фазе, были заменены одним медным проводником коробчатого сечения, ширина и высота которого соответствовали габаритным размерам двух трубошин, а толщина стенки равнялась толщине стенки трубошины (рисунок 2). </w:t>
      </w:r>
      <w:proofErr w:type="gramStart"/>
      <w:r>
        <w:t xml:space="preserve">При этом, изменяемыми параметрами модели являются: расстояние от крайней трубошины до крайнего рукава </w:t>
      </w:r>
      <w:r w:rsidRPr="003F07F8">
        <w:rPr>
          <w:i/>
          <w:lang w:val="en-US"/>
        </w:rPr>
        <w:t>h</w:t>
      </w:r>
      <w:r w:rsidRPr="003F07F8">
        <w:rPr>
          <w:vertAlign w:val="subscript"/>
        </w:rPr>
        <w:t>1</w:t>
      </w:r>
      <w:r w:rsidRPr="00310EAE">
        <w:t xml:space="preserve"> </w:t>
      </w:r>
      <w:r>
        <w:t xml:space="preserve">и расстояние от средней трубошины до среднего рукава </w:t>
      </w:r>
      <w:r w:rsidRPr="003F07F8">
        <w:rPr>
          <w:i/>
          <w:lang w:val="en-US"/>
        </w:rPr>
        <w:t>h</w:t>
      </w:r>
      <w:r w:rsidRPr="003F07F8">
        <w:rPr>
          <w:vertAlign w:val="subscript"/>
        </w:rPr>
        <w:t>2</w:t>
      </w:r>
      <w:r w:rsidRPr="003F07F8">
        <w:t>.</w:t>
      </w:r>
      <w:proofErr w:type="gramEnd"/>
      <w:r w:rsidRPr="003F07F8">
        <w:t xml:space="preserve"> </w:t>
      </w:r>
      <w:r>
        <w:lastRenderedPageBreak/>
        <w:t>Различные</w:t>
      </w:r>
      <w:r w:rsidRPr="003F07F8">
        <w:t xml:space="preserve"> </w:t>
      </w:r>
      <w:r>
        <w:t xml:space="preserve">сочетаний значений </w:t>
      </w:r>
      <w:r w:rsidRPr="003F07F8">
        <w:rPr>
          <w:i/>
          <w:lang w:val="en-US"/>
        </w:rPr>
        <w:t>h</w:t>
      </w:r>
      <w:r w:rsidRPr="003F07F8">
        <w:rPr>
          <w:vertAlign w:val="subscript"/>
        </w:rPr>
        <w:t>1</w:t>
      </w:r>
      <w:r w:rsidRPr="003F07F8">
        <w:t xml:space="preserve"> </w:t>
      </w:r>
      <w:r>
        <w:t>и</w:t>
      </w:r>
      <w:r w:rsidRPr="003F07F8">
        <w:rPr>
          <w:i/>
        </w:rPr>
        <w:t xml:space="preserve"> </w:t>
      </w:r>
      <w:r w:rsidRPr="003F07F8">
        <w:rPr>
          <w:i/>
          <w:lang w:val="en-US"/>
        </w:rPr>
        <w:t>h</w:t>
      </w:r>
      <w:r w:rsidRPr="003F07F8">
        <w:rPr>
          <w:vertAlign w:val="subscript"/>
        </w:rPr>
        <w:t>2</w:t>
      </w:r>
      <w:r>
        <w:t xml:space="preserve"> представляют собой различные варианты исполнения трубошинного участка токоподвода ДСП. При этом рукава электрододержателей могут быть из магнитной стали (</w:t>
      </w:r>
      <w:r w:rsidRPr="003F07F8">
        <w:t>μ</w:t>
      </w:r>
      <w:r w:rsidRPr="003F07F8">
        <w:rPr>
          <w:vertAlign w:val="subscript"/>
          <w:lang w:val="en-US"/>
        </w:rPr>
        <w:t>r</w:t>
      </w:r>
      <w:r w:rsidRPr="003F07F8">
        <w:t>=</w:t>
      </w:r>
      <w:r w:rsidRPr="003F07F8">
        <w:rPr>
          <w:i/>
          <w:lang w:val="en-US"/>
        </w:rPr>
        <w:t>f</w:t>
      </w:r>
      <w:r w:rsidRPr="003F07F8">
        <w:t>(</w:t>
      </w:r>
      <w:r w:rsidRPr="003F07F8">
        <w:rPr>
          <w:i/>
        </w:rPr>
        <w:t>H</w:t>
      </w:r>
      <w:r w:rsidRPr="003F07F8">
        <w:t>)</w:t>
      </w:r>
      <w:r>
        <w:t>, ρ=20∙10</w:t>
      </w:r>
      <w:r w:rsidRPr="003F07F8">
        <w:rPr>
          <w:vertAlign w:val="superscript"/>
        </w:rPr>
        <w:t>-8</w:t>
      </w:r>
      <w:r>
        <w:t xml:space="preserve"> ом м) или немагнитной стали (</w:t>
      </w:r>
      <w:r w:rsidRPr="003F07F8">
        <w:t>μ</w:t>
      </w:r>
      <w:r w:rsidRPr="003F07F8">
        <w:rPr>
          <w:vertAlign w:val="subscript"/>
          <w:lang w:val="en-US"/>
        </w:rPr>
        <w:t>r</w:t>
      </w:r>
      <w:r w:rsidRPr="003F07F8">
        <w:t>=</w:t>
      </w:r>
      <w:r>
        <w:t>1, ρ=80∙10</w:t>
      </w:r>
      <w:r w:rsidRPr="003F07F8">
        <w:rPr>
          <w:vertAlign w:val="superscript"/>
        </w:rPr>
        <w:t>-8</w:t>
      </w:r>
      <w:r>
        <w:t xml:space="preserve"> ом м).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788"/>
        <w:gridCol w:w="4248"/>
      </w:tblGrid>
      <w:tr w:rsidR="0049762E" w:rsidRPr="00503424" w:rsidTr="00017624">
        <w:trPr>
          <w:cantSplit/>
          <w:jc w:val="center"/>
        </w:trPr>
        <w:tc>
          <w:tcPr>
            <w:tcW w:w="4788" w:type="dxa"/>
          </w:tcPr>
          <w:p w:rsidR="0049762E" w:rsidRPr="00017624" w:rsidRDefault="00547D2C" w:rsidP="0068229C">
            <w:pPr>
              <w:pStyle w:val="af5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style="width:226.5pt;height:176.25pt;visibility:visible">
                  <v:imagedata r:id="rId5" o:title="" croptop="1832f" cropbottom="1570f" cropright="1068f"/>
                </v:shape>
              </w:pict>
            </w:r>
          </w:p>
        </w:tc>
        <w:tc>
          <w:tcPr>
            <w:tcW w:w="4248" w:type="dxa"/>
          </w:tcPr>
          <w:p w:rsidR="0049762E" w:rsidRPr="00017624" w:rsidRDefault="00547D2C" w:rsidP="00017624">
            <w:pPr>
              <w:ind w:firstLine="0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pict>
                <v:shape id="Рисунок 5" o:spid="_x0000_i1026" type="#_x0000_t75" style="width:193.5pt;height:162.75pt;visibility:visible">
                  <v:imagedata r:id="rId6" o:title=""/>
                </v:shape>
              </w:pict>
            </w:r>
          </w:p>
        </w:tc>
      </w:tr>
      <w:tr w:rsidR="0049762E" w:rsidRPr="00503424" w:rsidTr="00017624">
        <w:trPr>
          <w:cantSplit/>
          <w:jc w:val="center"/>
        </w:trPr>
        <w:tc>
          <w:tcPr>
            <w:tcW w:w="4788" w:type="dxa"/>
          </w:tcPr>
          <w:p w:rsidR="0049762E" w:rsidRPr="00017624" w:rsidRDefault="0049762E" w:rsidP="0068229C">
            <w:pPr>
              <w:pStyle w:val="af5"/>
            </w:pPr>
            <w:bookmarkStart w:id="0" w:name="_Ref372976364"/>
            <w:bookmarkStart w:id="1" w:name="_Ref372753777"/>
            <w:bookmarkStart w:id="2" w:name="_Toc373573300"/>
            <w:r w:rsidRPr="00017624">
              <w:t>Рисунок</w:t>
            </w:r>
            <w:bookmarkEnd w:id="0"/>
            <w:r w:rsidRPr="00017624">
              <w:t xml:space="preserve"> </w:t>
            </w:r>
            <w:r w:rsidRPr="00017624">
              <w:rPr>
                <w:noProof/>
              </w:rPr>
              <w:t>1</w:t>
            </w:r>
            <w:r w:rsidRPr="00017624">
              <w:t xml:space="preserve"> – Общий вид трубошинного участка токоподвода трехфазной ДСП</w:t>
            </w:r>
            <w:bookmarkEnd w:id="1"/>
            <w:r w:rsidRPr="00017624">
              <w:t>-100 И</w:t>
            </w:r>
            <w:proofErr w:type="gramStart"/>
            <w:r w:rsidRPr="00017624">
              <w:t>6</w:t>
            </w:r>
            <w:proofErr w:type="gramEnd"/>
            <w:r w:rsidRPr="00017624">
              <w:t>: 1 – трубошины фаз, 2 – стальные рукава электрододержателей.</w:t>
            </w:r>
            <w:bookmarkEnd w:id="2"/>
          </w:p>
        </w:tc>
        <w:tc>
          <w:tcPr>
            <w:tcW w:w="4248" w:type="dxa"/>
          </w:tcPr>
          <w:p w:rsidR="0049762E" w:rsidRDefault="0049762E" w:rsidP="00017624">
            <w:pPr>
              <w:ind w:firstLine="0"/>
              <w:jc w:val="center"/>
            </w:pPr>
            <w:r w:rsidRPr="00DA50CB">
              <w:t xml:space="preserve">Рисунок </w:t>
            </w:r>
            <w:r w:rsidRPr="00DA50CB">
              <w:rPr>
                <w:noProof/>
              </w:rPr>
              <w:t>2</w:t>
            </w:r>
            <w:r w:rsidRPr="00DA50CB">
              <w:t xml:space="preserve"> – Расчетная модель трубошинного участка ДСП-100 И</w:t>
            </w:r>
            <w:proofErr w:type="gramStart"/>
            <w:r w:rsidRPr="00DA50CB">
              <w:t>6</w:t>
            </w:r>
            <w:proofErr w:type="gramEnd"/>
            <w:r w:rsidRPr="00DA50CB">
              <w:t xml:space="preserve">: </w:t>
            </w:r>
            <w:r>
              <w:br/>
            </w:r>
            <w:r w:rsidRPr="00DA50CB">
              <w:t xml:space="preserve">1 – модельные трубошины, 2 – рукава электрододержателей; </w:t>
            </w:r>
            <w:r w:rsidRPr="00017624">
              <w:rPr>
                <w:i/>
                <w:lang w:val="en-US"/>
              </w:rPr>
              <w:t>h</w:t>
            </w:r>
            <w:r w:rsidRPr="00017624">
              <w:rPr>
                <w:vertAlign w:val="subscript"/>
              </w:rPr>
              <w:t>1</w:t>
            </w:r>
            <w:r w:rsidRPr="00DA50CB">
              <w:t xml:space="preserve"> и</w:t>
            </w:r>
            <w:r w:rsidRPr="00017624">
              <w:rPr>
                <w:i/>
              </w:rPr>
              <w:t xml:space="preserve"> </w:t>
            </w:r>
            <w:r w:rsidRPr="00017624">
              <w:rPr>
                <w:i/>
                <w:lang w:val="en-US"/>
              </w:rPr>
              <w:t>h</w:t>
            </w:r>
            <w:r w:rsidRPr="00017624">
              <w:rPr>
                <w:vertAlign w:val="subscript"/>
              </w:rPr>
              <w:t>2</w:t>
            </w:r>
            <w:r w:rsidRPr="00DA50CB">
              <w:t xml:space="preserve"> – геометрические параметры модели.</w:t>
            </w:r>
          </w:p>
        </w:tc>
      </w:tr>
    </w:tbl>
    <w:p w:rsidR="0049762E" w:rsidRDefault="0049762E" w:rsidP="00BC7738">
      <w:r>
        <w:t xml:space="preserve"> </w:t>
      </w:r>
    </w:p>
    <w:p w:rsidR="0049762E" w:rsidRPr="009333F4" w:rsidRDefault="0049762E" w:rsidP="00310EAE">
      <w:r>
        <w:t xml:space="preserve">В результате решения системы уравнений Максвелла в модельных элементах трубошинного участка токоподвода и окружающем пространстве было получено распределение удельной активной и реактивной мощности в расчетной области, из которых легко найти активные сопротивление элементов токоподвода относительно тока источника питания: </w:t>
      </w:r>
    </w:p>
    <w:p w:rsidR="0049762E" w:rsidRPr="00C9436C" w:rsidRDefault="0049762E" w:rsidP="006C44E2">
      <w:pPr>
        <w:pStyle w:val="af2"/>
        <w:rPr>
          <w:sz w:val="24"/>
          <w:szCs w:val="24"/>
        </w:rPr>
      </w:pPr>
      <w:r w:rsidRPr="006C44E2">
        <w:rPr>
          <w:sz w:val="24"/>
          <w:szCs w:val="24"/>
        </w:rPr>
        <w:tab/>
      </w:r>
      <w:r w:rsidRPr="009F4517">
        <w:rPr>
          <w:rFonts w:eastAsia="Times New Roman"/>
          <w:position w:val="-4"/>
          <w:sz w:val="24"/>
          <w:szCs w:val="24"/>
        </w:rPr>
        <w:object w:dxaOrig="859" w:dyaOrig="320">
          <v:shape id="_x0000_i1027" type="#_x0000_t75" style="width:42.75pt;height:15.75pt" o:ole="">
            <v:imagedata r:id="rId7" o:title=""/>
          </v:shape>
          <o:OLEObject Type="Embed" ProgID="Equation.DSMT4" ShapeID="_x0000_i1027" DrawAspect="Content" ObjectID="_1466320703" r:id="rId8"/>
        </w:object>
      </w:r>
      <w:r>
        <w:rPr>
          <w:sz w:val="24"/>
          <w:szCs w:val="24"/>
        </w:rPr>
        <w:t xml:space="preserve">, </w:t>
      </w:r>
      <w:r w:rsidRPr="00EF7CF6">
        <w:rPr>
          <w:sz w:val="24"/>
          <w:szCs w:val="24"/>
        </w:rPr>
        <w:tab/>
      </w:r>
    </w:p>
    <w:p w:rsidR="0049762E" w:rsidRPr="00EF7CF6" w:rsidRDefault="0049762E" w:rsidP="00794978">
      <w:r>
        <w:t>г</w:t>
      </w:r>
      <w:r w:rsidRPr="00EF7CF6">
        <w:t>де</w:t>
      </w:r>
      <w:r>
        <w:t xml:space="preserve"> </w:t>
      </w:r>
      <w:r w:rsidRPr="00D61259">
        <w:rPr>
          <w:position w:val="-4"/>
        </w:rPr>
        <w:object w:dxaOrig="240" w:dyaOrig="260">
          <v:shape id="_x0000_i1028" type="#_x0000_t75" style="width:12pt;height:12.75pt" o:ole="">
            <v:imagedata r:id="rId9" o:title=""/>
          </v:shape>
          <o:OLEObject Type="Embed" ProgID="Equation.DSMT4" ShapeID="_x0000_i1028" DrawAspect="Content" ObjectID="_1466320704" r:id="rId10"/>
        </w:object>
      </w:r>
      <w:r w:rsidRPr="00D61259">
        <w:t xml:space="preserve"> </w:t>
      </w:r>
      <w:r w:rsidRPr="00EF7CF6">
        <w:rPr>
          <w:szCs w:val="24"/>
        </w:rPr>
        <w:t xml:space="preserve">– интегральная активная мощность, </w:t>
      </w:r>
      <w:r w:rsidRPr="00D61259">
        <w:rPr>
          <w:position w:val="-4"/>
          <w:szCs w:val="24"/>
        </w:rPr>
        <w:object w:dxaOrig="200" w:dyaOrig="260">
          <v:shape id="_x0000_i1029" type="#_x0000_t75" style="width:9.75pt;height:12.75pt" o:ole="">
            <v:imagedata r:id="rId11" o:title=""/>
          </v:shape>
          <o:OLEObject Type="Embed" ProgID="Equation.DSMT4" ShapeID="_x0000_i1029" DrawAspect="Content" ObjectID="_1466320705" r:id="rId12"/>
        </w:object>
      </w:r>
      <w:r w:rsidRPr="00D61259">
        <w:rPr>
          <w:szCs w:val="24"/>
        </w:rPr>
        <w:t xml:space="preserve"> </w:t>
      </w:r>
      <w:r w:rsidRPr="00EF7CF6">
        <w:rPr>
          <w:szCs w:val="24"/>
        </w:rPr>
        <w:t xml:space="preserve">– ток источника питания. </w:t>
      </w:r>
    </w:p>
    <w:p w:rsidR="0049762E" w:rsidRPr="009333F4" w:rsidRDefault="0049762E" w:rsidP="00310EAE">
      <w:r>
        <w:t xml:space="preserve">Имея электрические параметры, полученные из модели без проводящих рукавов, можно получить коэффициенты дополнительных потерь для разных вариантов значений </w:t>
      </w:r>
      <w:r w:rsidRPr="003F07F8">
        <w:rPr>
          <w:i/>
          <w:lang w:val="en-US"/>
        </w:rPr>
        <w:t>h</w:t>
      </w:r>
      <w:r w:rsidRPr="003F07F8">
        <w:rPr>
          <w:vertAlign w:val="subscript"/>
        </w:rPr>
        <w:t>1</w:t>
      </w:r>
      <w:r w:rsidRPr="003F07F8">
        <w:t xml:space="preserve"> </w:t>
      </w:r>
      <w:r>
        <w:t>и</w:t>
      </w:r>
      <w:r w:rsidRPr="003F07F8">
        <w:rPr>
          <w:i/>
        </w:rPr>
        <w:t xml:space="preserve"> </w:t>
      </w:r>
      <w:r w:rsidRPr="003F07F8">
        <w:rPr>
          <w:i/>
          <w:lang w:val="en-US"/>
        </w:rPr>
        <w:t>h</w:t>
      </w:r>
      <w:r w:rsidRPr="003F07F8">
        <w:rPr>
          <w:vertAlign w:val="subscript"/>
        </w:rPr>
        <w:t>2</w:t>
      </w:r>
      <w:r>
        <w:t xml:space="preserve"> и материалов рукавов по формуле: </w:t>
      </w:r>
    </w:p>
    <w:p w:rsidR="0049762E" w:rsidRPr="009226CE" w:rsidRDefault="0049762E" w:rsidP="00D65268">
      <w:pPr>
        <w:pStyle w:val="af2"/>
        <w:rPr>
          <w:sz w:val="24"/>
          <w:szCs w:val="24"/>
        </w:rPr>
      </w:pPr>
      <w:r w:rsidRPr="006C44E2">
        <w:rPr>
          <w:sz w:val="24"/>
          <w:szCs w:val="24"/>
        </w:rPr>
        <w:tab/>
      </w:r>
      <w:r w:rsidRPr="00D61259">
        <w:rPr>
          <w:position w:val="-14"/>
          <w:sz w:val="24"/>
          <w:szCs w:val="24"/>
        </w:rPr>
        <w:object w:dxaOrig="1620" w:dyaOrig="380">
          <v:shape id="_x0000_i1030" type="#_x0000_t75" style="width:81pt;height:18.75pt" o:ole="">
            <v:imagedata r:id="rId13" o:title=""/>
          </v:shape>
          <o:OLEObject Type="Embed" ProgID="Equation.DSMT4" ShapeID="_x0000_i1030" DrawAspect="Content" ObjectID="_1466320706" r:id="rId14"/>
        </w:object>
      </w:r>
      <w:r>
        <w:rPr>
          <w:sz w:val="24"/>
          <w:szCs w:val="24"/>
        </w:rPr>
        <w:t xml:space="preserve">, </w:t>
      </w:r>
      <w:r w:rsidRPr="006C44E2">
        <w:rPr>
          <w:sz w:val="24"/>
          <w:szCs w:val="24"/>
        </w:rPr>
        <w:tab/>
      </w:r>
    </w:p>
    <w:p w:rsidR="0049762E" w:rsidRDefault="0049762E" w:rsidP="00310EAE">
      <w:r>
        <w:t xml:space="preserve">где </w:t>
      </w:r>
      <w:r w:rsidRPr="00D61259">
        <w:rPr>
          <w:position w:val="-14"/>
        </w:rPr>
        <w:object w:dxaOrig="440" w:dyaOrig="380">
          <v:shape id="_x0000_i1031" type="#_x0000_t75" style="width:21.75pt;height:18.75pt" o:ole="">
            <v:imagedata r:id="rId15" o:title=""/>
          </v:shape>
          <o:OLEObject Type="Embed" ProgID="Equation.DSMT4" ShapeID="_x0000_i1031" DrawAspect="Content" ObjectID="_1466320707" r:id="rId16"/>
        </w:object>
      </w:r>
      <w:r w:rsidRPr="00DA50CB">
        <w:t xml:space="preserve">, </w:t>
      </w:r>
      <w:r w:rsidRPr="00D61259">
        <w:rPr>
          <w:rFonts w:eastAsia="Times New Roman"/>
          <w:position w:val="-14"/>
        </w:rPr>
        <w:object w:dxaOrig="340" w:dyaOrig="380">
          <v:shape id="_x0000_i1032" type="#_x0000_t75" style="width:17.25pt;height:18.75pt" o:ole="">
            <v:imagedata r:id="rId17" o:title=""/>
          </v:shape>
          <o:OLEObject Type="Embed" ProgID="Equation.DSMT4" ShapeID="_x0000_i1032" DrawAspect="Content" ObjectID="_1466320708" r:id="rId18"/>
        </w:object>
      </w:r>
      <w:r w:rsidRPr="00DA50CB">
        <w:t xml:space="preserve"> – сопротивление фазы участка токоподвода в присутствии близлежащих металлоконструкций и в их отсутствии соответственно. </w:t>
      </w:r>
    </w:p>
    <w:p w:rsidR="0049762E" w:rsidRDefault="0049762E" w:rsidP="00310EAE">
      <w:r>
        <w:t xml:space="preserve">На рисунке 3 приведены графики зависимости среднефазного КДП от геометрических параметров </w:t>
      </w:r>
      <w:r w:rsidRPr="003F07F8">
        <w:rPr>
          <w:i/>
          <w:lang w:val="en-US"/>
        </w:rPr>
        <w:t>h</w:t>
      </w:r>
      <w:r w:rsidRPr="003F07F8">
        <w:rPr>
          <w:vertAlign w:val="subscript"/>
        </w:rPr>
        <w:t>1</w:t>
      </w:r>
      <w:r w:rsidRPr="003F07F8">
        <w:t xml:space="preserve"> </w:t>
      </w:r>
      <w:r>
        <w:t>и</w:t>
      </w:r>
      <w:r w:rsidRPr="003F07F8">
        <w:rPr>
          <w:i/>
        </w:rPr>
        <w:t xml:space="preserve"> </w:t>
      </w:r>
      <w:r w:rsidRPr="003F07F8">
        <w:rPr>
          <w:i/>
          <w:lang w:val="en-US"/>
        </w:rPr>
        <w:t>h</w:t>
      </w:r>
      <w:r w:rsidRPr="003F07F8">
        <w:rPr>
          <w:vertAlign w:val="subscript"/>
        </w:rPr>
        <w:t>2</w:t>
      </w:r>
      <w:r>
        <w:t xml:space="preserve"> и свойств рукавов. </w:t>
      </w:r>
    </w:p>
    <w:p w:rsidR="00FB79CB" w:rsidRPr="00F76E7C" w:rsidRDefault="00FB79CB" w:rsidP="00FB79CB">
      <w:r w:rsidRPr="007B0EAA">
        <w:t>Из графиков видно, что</w:t>
      </w:r>
      <w:r>
        <w:t xml:space="preserve"> среднефазный КДП</w:t>
      </w:r>
      <w:r w:rsidRPr="007B0EAA">
        <w:t xml:space="preserve"> уменьшается с увеличением расстояни</w:t>
      </w:r>
      <w:r>
        <w:t xml:space="preserve">я между трубошинами и рукавами. В работе </w:t>
      </w:r>
      <w:r w:rsidRPr="008077C8">
        <w:t>[</w:t>
      </w:r>
      <w:r>
        <w:t>2</w:t>
      </w:r>
      <w:r w:rsidRPr="008077C8">
        <w:t>]</w:t>
      </w:r>
      <w:r>
        <w:t xml:space="preserve"> этот коэффициент для 100-тонной ДСП получился равным 1.35 для </w:t>
      </w:r>
      <w:r w:rsidRPr="00757638">
        <w:rPr>
          <w:i/>
          <w:iCs/>
        </w:rPr>
        <w:t>h</w:t>
      </w:r>
      <w:r w:rsidRPr="00757638">
        <w:rPr>
          <w:vertAlign w:val="subscript"/>
        </w:rPr>
        <w:t>1</w:t>
      </w:r>
      <w:r>
        <w:t xml:space="preserve"> = 14</w:t>
      </w:r>
      <w:r w:rsidRPr="00757638">
        <w:t>00 мм</w:t>
      </w:r>
      <w:r>
        <w:t xml:space="preserve"> и </w:t>
      </w:r>
      <w:r w:rsidRPr="00757638">
        <w:rPr>
          <w:i/>
          <w:iCs/>
        </w:rPr>
        <w:t>h</w:t>
      </w:r>
      <w:r>
        <w:rPr>
          <w:vertAlign w:val="subscript"/>
        </w:rPr>
        <w:t>2</w:t>
      </w:r>
      <w:r>
        <w:t xml:space="preserve"> = 24</w:t>
      </w:r>
      <w:r w:rsidRPr="00757638">
        <w:t>00 мм</w:t>
      </w:r>
      <w:r>
        <w:t xml:space="preserve">. Это значение </w:t>
      </w:r>
      <w:r w:rsidRPr="00CD7E71">
        <w:rPr>
          <w:i/>
          <w:position w:val="-14"/>
        </w:rPr>
        <w:object w:dxaOrig="540" w:dyaOrig="380">
          <v:shape id="_x0000_i1033" type="#_x0000_t75" style="width:27pt;height:18.75pt" o:ole="">
            <v:imagedata r:id="rId19" o:title=""/>
          </v:shape>
          <o:OLEObject Type="Embed" ProgID="Equation.DSMT4" ShapeID="_x0000_i1033" DrawAspect="Content" ObjectID="_1466320709" r:id="rId20"/>
        </w:object>
      </w:r>
      <w:r>
        <w:rPr>
          <w:i/>
        </w:rPr>
        <w:t xml:space="preserve"> </w:t>
      </w:r>
      <w:r>
        <w:t xml:space="preserve">отмечено на рисунке </w:t>
      </w:r>
      <w:r>
        <w:rPr>
          <w:noProof/>
        </w:rPr>
        <w:t>3</w:t>
      </w:r>
      <w:r>
        <w:t xml:space="preserve"> и отличается от результатов выполненного численного моделирования не более чем на 4%. При этом результаты численного моделирования, полученные для магнитной</w:t>
      </w:r>
      <w:r w:rsidRPr="001A0165">
        <w:t xml:space="preserve"> </w:t>
      </w:r>
      <w:r>
        <w:t xml:space="preserve">и немагнитной стали, отличаются друг от друга не более чем на 9%, что подтверждает выводы работы </w:t>
      </w:r>
      <w:r w:rsidRPr="008077C8">
        <w:t>[</w:t>
      </w:r>
      <w:r>
        <w:t>2</w:t>
      </w:r>
      <w:r w:rsidRPr="008077C8">
        <w:t>]</w:t>
      </w:r>
      <w:r>
        <w:t>. Таким образом, правильность модели трубошинного участка токоподвода ДСП-100 И</w:t>
      </w:r>
      <w:proofErr w:type="gramStart"/>
      <w:r>
        <w:t>6</w:t>
      </w:r>
      <w:proofErr w:type="gramEnd"/>
      <w:r>
        <w:t xml:space="preserve"> подтверждается экспериментом с достаточной для инженерных расчетов точностью. </w:t>
      </w:r>
    </w:p>
    <w:p w:rsidR="00FB79CB" w:rsidRDefault="00FB79CB" w:rsidP="00310EAE">
      <w:r>
        <w:t>Выполненные расчеты показали, что КДП для</w:t>
      </w:r>
      <w:r w:rsidRPr="007B0EAA">
        <w:t xml:space="preserve"> активного сопротивления фаз </w:t>
      </w:r>
      <w:r w:rsidRPr="00CD7E71">
        <w:rPr>
          <w:i/>
          <w:position w:val="-14"/>
          <w:lang w:val="en-US"/>
        </w:rPr>
        <w:object w:dxaOrig="540" w:dyaOrig="380">
          <v:shape id="_x0000_i1034" type="#_x0000_t75" style="width:27pt;height:18.75pt" o:ole="">
            <v:imagedata r:id="rId21" o:title=""/>
          </v:shape>
          <o:OLEObject Type="Embed" ProgID="Equation.DSMT4" ShapeID="_x0000_i1034" DrawAspect="Content" ObjectID="_1466320710" r:id="rId22"/>
        </w:object>
      </w:r>
      <w:r>
        <w:rPr>
          <w:i/>
        </w:rPr>
        <w:t xml:space="preserve"> </w:t>
      </w:r>
      <w:r w:rsidRPr="007B0EAA">
        <w:t>может варь</w:t>
      </w:r>
      <w:r>
        <w:t>ироваться в диапазоне 1.2 ÷ 2.6.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4"/>
      </w:tblGrid>
      <w:tr w:rsidR="0049762E" w:rsidTr="004A6447">
        <w:tc>
          <w:tcPr>
            <w:tcW w:w="4927" w:type="dxa"/>
          </w:tcPr>
          <w:p w:rsidR="0049762E" w:rsidRDefault="00547D2C" w:rsidP="004A6447">
            <w:pPr>
              <w:ind w:firstLine="0"/>
            </w:pPr>
            <w:r>
              <w:rPr>
                <w:noProof/>
                <w:lang w:eastAsia="ru-RU"/>
              </w:rPr>
              <w:lastRenderedPageBreak/>
              <w:pict>
                <v:shape id="Рисунок 2" o:spid="_x0000_i1035" type="#_x0000_t75" style="width:226.5pt;height:170.25pt;visibility:visible">
                  <v:imagedata r:id="rId23" o:title=""/>
                </v:shape>
              </w:pict>
            </w:r>
          </w:p>
        </w:tc>
        <w:tc>
          <w:tcPr>
            <w:tcW w:w="4927" w:type="dxa"/>
          </w:tcPr>
          <w:p w:rsidR="0049762E" w:rsidRDefault="00547D2C" w:rsidP="004A6447">
            <w:pPr>
              <w:ind w:firstLine="0"/>
            </w:pPr>
            <w:r>
              <w:rPr>
                <w:noProof/>
                <w:lang w:eastAsia="ru-RU"/>
              </w:rPr>
              <w:pict>
                <v:shape id="Рисунок 22" o:spid="_x0000_i1036" type="#_x0000_t75" style="width:226.5pt;height:170.25pt;visibility:visible">
                  <v:imagedata r:id="rId24" o:title=""/>
                </v:shape>
              </w:pict>
            </w:r>
          </w:p>
        </w:tc>
      </w:tr>
      <w:tr w:rsidR="0049762E" w:rsidTr="004A6447">
        <w:tc>
          <w:tcPr>
            <w:tcW w:w="9854" w:type="dxa"/>
            <w:gridSpan w:val="2"/>
          </w:tcPr>
          <w:p w:rsidR="0049762E" w:rsidRPr="00017624" w:rsidRDefault="0049762E" w:rsidP="00B678D3">
            <w:pPr>
              <w:pStyle w:val="af5"/>
            </w:pPr>
            <w:r w:rsidRPr="00017624">
              <w:t xml:space="preserve">Рисунок </w:t>
            </w:r>
            <w:r w:rsidRPr="00017624">
              <w:rPr>
                <w:noProof/>
              </w:rPr>
              <w:t>3</w:t>
            </w:r>
            <w:r w:rsidRPr="00017624">
              <w:t xml:space="preserve"> – Коэффициенты добавочных потерь к активному сопротивлению: </w:t>
            </w:r>
          </w:p>
          <w:p w:rsidR="0049762E" w:rsidRPr="00017624" w:rsidRDefault="0049762E" w:rsidP="004A6447">
            <w:pPr>
              <w:pStyle w:val="af5"/>
            </w:pPr>
            <w:proofErr w:type="gramStart"/>
            <w:r w:rsidRPr="00017624">
              <w:t xml:space="preserve">а) среднефазный коэффициент добавочных потерь КДПАС участка трубошин ДСП-100: 1 – </w:t>
            </w:r>
            <w:r w:rsidRPr="00017624">
              <w:rPr>
                <w:i/>
                <w:iCs/>
              </w:rPr>
              <w:t>h</w:t>
            </w:r>
            <w:r w:rsidRPr="00017624">
              <w:rPr>
                <w:vertAlign w:val="subscript"/>
              </w:rPr>
              <w:t>1</w:t>
            </w:r>
            <w:r w:rsidRPr="00017624">
              <w:t xml:space="preserve"> = 500 мм; 2 – </w:t>
            </w:r>
            <w:r w:rsidRPr="00017624">
              <w:rPr>
                <w:i/>
                <w:iCs/>
              </w:rPr>
              <w:t>h</w:t>
            </w:r>
            <w:r w:rsidRPr="00017624">
              <w:rPr>
                <w:vertAlign w:val="subscript"/>
              </w:rPr>
              <w:t>1</w:t>
            </w:r>
            <w:r w:rsidRPr="00017624">
              <w:t xml:space="preserve"> = 1000 мм; 3 – </w:t>
            </w:r>
            <w:r w:rsidRPr="00017624">
              <w:rPr>
                <w:i/>
                <w:iCs/>
              </w:rPr>
              <w:t>h</w:t>
            </w:r>
            <w:r w:rsidRPr="00017624">
              <w:rPr>
                <w:vertAlign w:val="subscript"/>
              </w:rPr>
              <w:t>1</w:t>
            </w:r>
            <w:r w:rsidRPr="00017624">
              <w:t xml:space="preserve"> = 1500 мм; сплошные – магнитная сталь, пунктирные – немагнитная; </w:t>
            </w:r>
            <w:r w:rsidRPr="00017624">
              <w:rPr>
                <w:rFonts w:ascii="Arial" w:hAnsi="Arial" w:cs="Arial"/>
              </w:rPr>
              <w:t>Х</w:t>
            </w:r>
            <w:r w:rsidRPr="00017624">
              <w:t xml:space="preserve"> – экспериментальный результат </w:t>
            </w:r>
            <w:r w:rsidRPr="00017624">
              <w:rPr>
                <w:noProof/>
              </w:rPr>
              <w:t xml:space="preserve">[2]; </w:t>
            </w:r>
            <w:r w:rsidRPr="00017624">
              <w:rPr>
                <w:noProof/>
              </w:rPr>
              <w:br/>
            </w:r>
            <w:r w:rsidRPr="00017624">
              <w:t xml:space="preserve">б) коэффициент добавочных потерь для активного сопротивления: 1, 2, 3 – крайняя фаза; 4, 5, 6 – средняя фаза; 1, 4 – </w:t>
            </w:r>
            <w:r w:rsidRPr="00017624">
              <w:rPr>
                <w:i/>
              </w:rPr>
              <w:t>h</w:t>
            </w:r>
            <w:r w:rsidRPr="00017624">
              <w:rPr>
                <w:vertAlign w:val="subscript"/>
              </w:rPr>
              <w:t>1</w:t>
            </w:r>
            <w:r w:rsidRPr="00017624">
              <w:t xml:space="preserve"> = 500 мм;</w:t>
            </w:r>
            <w:proofErr w:type="gramEnd"/>
            <w:r w:rsidRPr="00017624">
              <w:t xml:space="preserve"> </w:t>
            </w:r>
            <w:proofErr w:type="gramStart"/>
            <w:r w:rsidRPr="00017624">
              <w:t xml:space="preserve">2, 5 – </w:t>
            </w:r>
            <w:r w:rsidRPr="00017624">
              <w:rPr>
                <w:i/>
              </w:rPr>
              <w:t>h</w:t>
            </w:r>
            <w:r w:rsidRPr="00017624">
              <w:rPr>
                <w:vertAlign w:val="subscript"/>
              </w:rPr>
              <w:t>1</w:t>
            </w:r>
            <w:r w:rsidRPr="00017624">
              <w:t xml:space="preserve"> = 1000 мм; 3, 6 – </w:t>
            </w:r>
            <w:r w:rsidRPr="00017624">
              <w:rPr>
                <w:i/>
              </w:rPr>
              <w:t>h</w:t>
            </w:r>
            <w:r w:rsidRPr="00017624">
              <w:rPr>
                <w:vertAlign w:val="subscript"/>
              </w:rPr>
              <w:t>1</w:t>
            </w:r>
            <w:r w:rsidRPr="00017624">
              <w:t xml:space="preserve"> = 1500 мм; </w:t>
            </w:r>
            <w:r w:rsidRPr="00017624">
              <w:br/>
              <w:t>сплошные – магнитная сталь, пунктирные – немагнитная.</w:t>
            </w:r>
            <w:proofErr w:type="gramEnd"/>
          </w:p>
        </w:tc>
      </w:tr>
    </w:tbl>
    <w:p w:rsidR="0049762E" w:rsidRDefault="0049762E" w:rsidP="005267BE">
      <w:r>
        <w:t xml:space="preserve">Полученный результат можно объяснить, с одной стороны, более широким диапазоном изменения расстояний между трубошинами и рукавами, а с другой стороны, учетом трехфазной системы токов в трубошинах, взаимодействующих как между собой, так и с рукавами электрододержателей собственной и соседних фаз. </w:t>
      </w:r>
    </w:p>
    <w:p w:rsidR="0049762E" w:rsidRDefault="0049762E" w:rsidP="005267BE">
      <w:r>
        <w:t xml:space="preserve">Полученные зависимости коэффициента добавочных потерь можно рекомендовать к использованию при проектировании аналогичных дуговых сталеплавильных печей, имеющих геометрические параметры, входящие в диапазон исходных данных выполненного исследования. </w:t>
      </w:r>
    </w:p>
    <w:p w:rsidR="008D3FE0" w:rsidRDefault="008D3FE0" w:rsidP="005267BE"/>
    <w:p w:rsidR="008D3FE0" w:rsidRDefault="008D3FE0" w:rsidP="008D3FE0">
      <w:pPr>
        <w:jc w:val="center"/>
      </w:pPr>
      <w:r>
        <w:t>Список литературы</w:t>
      </w:r>
    </w:p>
    <w:p w:rsidR="0049762E" w:rsidRDefault="0049762E" w:rsidP="008D3FE0">
      <w:pPr>
        <w:pStyle w:val="a7"/>
        <w:ind w:firstLine="708"/>
        <w:rPr>
          <w:noProof/>
        </w:rPr>
      </w:pPr>
      <w:r>
        <w:rPr>
          <w:bCs/>
          <w:noProof/>
        </w:rPr>
        <w:t>1.</w:t>
      </w:r>
      <w:r w:rsidRPr="004A6447">
        <w:rPr>
          <w:b/>
          <w:bCs/>
          <w:noProof/>
        </w:rPr>
        <w:t xml:space="preserve"> </w:t>
      </w:r>
      <w:r w:rsidRPr="004B7AF7">
        <w:rPr>
          <w:bCs/>
          <w:noProof/>
        </w:rPr>
        <w:t>Данцис</w:t>
      </w:r>
      <w:r w:rsidR="004B7AF7" w:rsidRPr="004B7AF7">
        <w:rPr>
          <w:bCs/>
          <w:noProof/>
        </w:rPr>
        <w:t>,</w:t>
      </w:r>
      <w:r w:rsidRPr="004B7AF7">
        <w:rPr>
          <w:bCs/>
          <w:noProof/>
        </w:rPr>
        <w:t xml:space="preserve"> Я. Б.</w:t>
      </w:r>
      <w:r>
        <w:rPr>
          <w:noProof/>
        </w:rPr>
        <w:t xml:space="preserve"> Короткие сети и электрические парам</w:t>
      </w:r>
      <w:r w:rsidR="004B7AF7">
        <w:rPr>
          <w:noProof/>
        </w:rPr>
        <w:t>етры дуговых электропечей [Текст] / Я.Б. Данцис.</w:t>
      </w:r>
      <w:r>
        <w:rPr>
          <w:noProof/>
        </w:rPr>
        <w:t> - Москва : Металлугрия, 1987. - 320 с.</w:t>
      </w:r>
    </w:p>
    <w:p w:rsidR="0049762E" w:rsidRDefault="0049762E" w:rsidP="008D3FE0">
      <w:pPr>
        <w:pStyle w:val="a7"/>
        <w:ind w:firstLine="708"/>
        <w:rPr>
          <w:noProof/>
        </w:rPr>
      </w:pPr>
      <w:r w:rsidRPr="00CD7E71">
        <w:rPr>
          <w:bCs/>
          <w:noProof/>
        </w:rPr>
        <w:t>2</w:t>
      </w:r>
      <w:r>
        <w:rPr>
          <w:bCs/>
          <w:noProof/>
        </w:rPr>
        <w:t>.</w:t>
      </w:r>
      <w:r w:rsidRPr="004A6447">
        <w:rPr>
          <w:b/>
          <w:bCs/>
          <w:noProof/>
        </w:rPr>
        <w:t xml:space="preserve"> </w:t>
      </w:r>
      <w:r w:rsidRPr="004B7AF7">
        <w:rPr>
          <w:bCs/>
          <w:noProof/>
        </w:rPr>
        <w:t>Бортничук</w:t>
      </w:r>
      <w:r w:rsidR="008D3FE0">
        <w:rPr>
          <w:bCs/>
          <w:noProof/>
        </w:rPr>
        <w:t>,</w:t>
      </w:r>
      <w:r w:rsidR="004B7AF7">
        <w:rPr>
          <w:bCs/>
          <w:noProof/>
        </w:rPr>
        <w:t xml:space="preserve"> Н.</w:t>
      </w:r>
      <w:r w:rsidRPr="004B7AF7">
        <w:rPr>
          <w:bCs/>
          <w:noProof/>
        </w:rPr>
        <w:t>И.</w:t>
      </w:r>
      <w:r>
        <w:rPr>
          <w:noProof/>
        </w:rPr>
        <w:t xml:space="preserve"> Работы по моделированию коротких сетей в лаборатории ВНИИЭТО [</w:t>
      </w:r>
      <w:r w:rsidR="008D3FE0">
        <w:rPr>
          <w:noProof/>
        </w:rPr>
        <w:t>Текст</w:t>
      </w:r>
      <w:r>
        <w:rPr>
          <w:noProof/>
        </w:rPr>
        <w:t>] </w:t>
      </w:r>
      <w:r w:rsidR="008D3FE0">
        <w:rPr>
          <w:noProof/>
        </w:rPr>
        <w:t xml:space="preserve">/ </w:t>
      </w:r>
      <w:r w:rsidR="008D3FE0">
        <w:rPr>
          <w:bCs/>
          <w:noProof/>
        </w:rPr>
        <w:t>Н.</w:t>
      </w:r>
      <w:r w:rsidR="008D3FE0" w:rsidRPr="004B7AF7">
        <w:rPr>
          <w:bCs/>
          <w:noProof/>
        </w:rPr>
        <w:t>И.</w:t>
      </w:r>
      <w:r w:rsidR="008D3FE0">
        <w:rPr>
          <w:noProof/>
        </w:rPr>
        <w:t xml:space="preserve"> </w:t>
      </w:r>
      <w:r w:rsidR="008D3FE0" w:rsidRPr="004B7AF7">
        <w:rPr>
          <w:bCs/>
          <w:noProof/>
        </w:rPr>
        <w:t>Бортничук</w:t>
      </w:r>
      <w:r w:rsidR="008D3FE0">
        <w:rPr>
          <w:noProof/>
        </w:rPr>
        <w:t xml:space="preserve"> // С</w:t>
      </w:r>
      <w:r>
        <w:rPr>
          <w:noProof/>
        </w:rPr>
        <w:t>б. науч. тр. Моделирование коротких сетей . - Москва : ЦИНТИЭЛ, 1963.</w:t>
      </w:r>
    </w:p>
    <w:p w:rsidR="00547D2C" w:rsidRDefault="0049762E" w:rsidP="008D3FE0">
      <w:pPr>
        <w:pStyle w:val="a7"/>
        <w:ind w:firstLine="708"/>
        <w:rPr>
          <w:bCs/>
          <w:noProof/>
        </w:rPr>
      </w:pPr>
      <w:r w:rsidRPr="00CD7E71">
        <w:rPr>
          <w:bCs/>
          <w:noProof/>
        </w:rPr>
        <w:t>3</w:t>
      </w:r>
      <w:r>
        <w:rPr>
          <w:bCs/>
          <w:noProof/>
        </w:rPr>
        <w:t>.</w:t>
      </w:r>
      <w:r w:rsidRPr="004A6447">
        <w:rPr>
          <w:b/>
          <w:bCs/>
          <w:noProof/>
        </w:rPr>
        <w:t xml:space="preserve"> </w:t>
      </w:r>
      <w:r w:rsidRPr="004B7AF7">
        <w:rPr>
          <w:bCs/>
          <w:noProof/>
        </w:rPr>
        <w:t>Бортничук</w:t>
      </w:r>
      <w:r w:rsidR="008D3FE0">
        <w:rPr>
          <w:bCs/>
          <w:noProof/>
        </w:rPr>
        <w:t>,</w:t>
      </w:r>
      <w:r w:rsidRPr="004B7AF7">
        <w:rPr>
          <w:bCs/>
          <w:noProof/>
        </w:rPr>
        <w:t xml:space="preserve"> Н. И</w:t>
      </w:r>
      <w:r w:rsidR="00547D2C">
        <w:rPr>
          <w:bCs/>
          <w:noProof/>
        </w:rPr>
        <w:t>.</w:t>
      </w:r>
      <w:r>
        <w:rPr>
          <w:noProof/>
        </w:rPr>
        <w:t xml:space="preserve"> Методы определения и улучшения электрических парамет</w:t>
      </w:r>
      <w:r w:rsidR="008D3FE0">
        <w:rPr>
          <w:noProof/>
        </w:rPr>
        <w:t>ров электродуговых печей [Текст</w:t>
      </w:r>
      <w:r>
        <w:rPr>
          <w:noProof/>
        </w:rPr>
        <w:t xml:space="preserve">] / </w:t>
      </w:r>
      <w:r w:rsidR="008D3FE0">
        <w:rPr>
          <w:bCs/>
          <w:noProof/>
        </w:rPr>
        <w:t xml:space="preserve">Н. И. </w:t>
      </w:r>
      <w:r w:rsidR="008D3FE0" w:rsidRPr="004B7AF7">
        <w:rPr>
          <w:bCs/>
          <w:noProof/>
        </w:rPr>
        <w:t>Бортничук</w:t>
      </w:r>
      <w:r w:rsidR="008D3FE0">
        <w:rPr>
          <w:bCs/>
          <w:noProof/>
        </w:rPr>
        <w:t>,</w:t>
      </w:r>
      <w:r w:rsidR="008D3FE0" w:rsidRPr="004B7AF7">
        <w:rPr>
          <w:bCs/>
          <w:noProof/>
        </w:rPr>
        <w:t xml:space="preserve"> Л. А. Сафронов и</w:t>
      </w:r>
    </w:p>
    <w:p w:rsidR="0049762E" w:rsidRDefault="008D3FE0" w:rsidP="00547D2C">
      <w:pPr>
        <w:pStyle w:val="a7"/>
        <w:rPr>
          <w:noProof/>
        </w:rPr>
      </w:pPr>
      <w:bookmarkStart w:id="3" w:name="_GoBack"/>
      <w:bookmarkEnd w:id="3"/>
      <w:r w:rsidRPr="004B7AF7">
        <w:rPr>
          <w:bCs/>
          <w:noProof/>
        </w:rPr>
        <w:t xml:space="preserve"> О. В.Юрыгин </w:t>
      </w:r>
      <w:r>
        <w:rPr>
          <w:bCs/>
          <w:noProof/>
        </w:rPr>
        <w:t xml:space="preserve">// </w:t>
      </w:r>
      <w:r w:rsidR="0049762E">
        <w:rPr>
          <w:noProof/>
        </w:rPr>
        <w:t>Элект</w:t>
      </w:r>
      <w:r>
        <w:rPr>
          <w:noProof/>
        </w:rPr>
        <w:t>ротермия. – 1964. -</w:t>
      </w:r>
      <w:r w:rsidR="003844F8">
        <w:rPr>
          <w:noProof/>
        </w:rPr>
        <w:t xml:space="preserve"> №</w:t>
      </w:r>
      <w:r>
        <w:rPr>
          <w:noProof/>
        </w:rPr>
        <w:t>31. – С.</w:t>
      </w:r>
      <w:r w:rsidR="0049762E">
        <w:rPr>
          <w:noProof/>
        </w:rPr>
        <w:t xml:space="preserve"> 41-43.</w:t>
      </w:r>
    </w:p>
    <w:p w:rsidR="00FB79CB" w:rsidRPr="004B7AF7" w:rsidRDefault="00FB79CB" w:rsidP="00FB79CB"/>
    <w:p w:rsidR="0049762E" w:rsidRPr="008D3FE0" w:rsidRDefault="0049762E" w:rsidP="008D3FE0">
      <w:pPr>
        <w:ind w:firstLine="0"/>
        <w:rPr>
          <w:szCs w:val="24"/>
        </w:rPr>
      </w:pPr>
      <w:r w:rsidRPr="008D3FE0">
        <w:rPr>
          <w:b/>
          <w:szCs w:val="24"/>
        </w:rPr>
        <w:t>Власов Давид Сергеевич</w:t>
      </w:r>
      <w:r w:rsidRPr="008D3FE0">
        <w:rPr>
          <w:szCs w:val="24"/>
        </w:rPr>
        <w:t xml:space="preserve">, кандидат технических наук, инженер кафедры автоматизированных электротехнологических установок </w:t>
      </w:r>
      <w:r w:rsidR="00FB79CB" w:rsidRPr="008D3FE0">
        <w:rPr>
          <w:szCs w:val="24"/>
        </w:rPr>
        <w:t xml:space="preserve">(АЭТУ) </w:t>
      </w:r>
      <w:r w:rsidRPr="008D3FE0">
        <w:rPr>
          <w:szCs w:val="24"/>
        </w:rPr>
        <w:t>Новосибирского государственного технического университета (НГТУ). Почтовый адрес: 630073, г. Новосибирск, пр. К. Маркса, 20; раб</w:t>
      </w:r>
      <w:proofErr w:type="gramStart"/>
      <w:r w:rsidRPr="008D3FE0">
        <w:rPr>
          <w:szCs w:val="24"/>
        </w:rPr>
        <w:t>.</w:t>
      </w:r>
      <w:proofErr w:type="gramEnd"/>
      <w:r w:rsidRPr="008D3FE0">
        <w:rPr>
          <w:szCs w:val="24"/>
        </w:rPr>
        <w:t xml:space="preserve"> </w:t>
      </w:r>
      <w:proofErr w:type="gramStart"/>
      <w:r w:rsidRPr="008D3FE0">
        <w:rPr>
          <w:szCs w:val="24"/>
        </w:rPr>
        <w:t>т</w:t>
      </w:r>
      <w:proofErr w:type="gramEnd"/>
      <w:r w:rsidRPr="008D3FE0">
        <w:rPr>
          <w:szCs w:val="24"/>
        </w:rPr>
        <w:t xml:space="preserve">ел. +7(383)346-30-32; моб. тел. +7(951)900-91-77; </w:t>
      </w:r>
      <w:r w:rsidRPr="008D3FE0">
        <w:rPr>
          <w:szCs w:val="24"/>
          <w:lang w:val="en-US"/>
        </w:rPr>
        <w:t>e</w:t>
      </w:r>
      <w:r w:rsidRPr="008D3FE0">
        <w:rPr>
          <w:szCs w:val="24"/>
        </w:rPr>
        <w:t>-</w:t>
      </w:r>
      <w:r w:rsidRPr="008D3FE0">
        <w:rPr>
          <w:szCs w:val="24"/>
          <w:lang w:val="en-US"/>
        </w:rPr>
        <w:t>mail</w:t>
      </w:r>
      <w:r w:rsidRPr="008D3FE0">
        <w:rPr>
          <w:szCs w:val="24"/>
        </w:rPr>
        <w:t xml:space="preserve">: </w:t>
      </w:r>
      <w:r w:rsidRPr="008D3FE0">
        <w:rPr>
          <w:szCs w:val="24"/>
          <w:lang w:val="en-US"/>
        </w:rPr>
        <w:t>wlasow</w:t>
      </w:r>
      <w:r w:rsidRPr="008D3FE0">
        <w:rPr>
          <w:szCs w:val="24"/>
        </w:rPr>
        <w:t>.</w:t>
      </w:r>
      <w:r w:rsidRPr="008D3FE0">
        <w:rPr>
          <w:szCs w:val="24"/>
          <w:lang w:val="en-US"/>
        </w:rPr>
        <w:t>david</w:t>
      </w:r>
      <w:r w:rsidRPr="008D3FE0">
        <w:rPr>
          <w:szCs w:val="24"/>
        </w:rPr>
        <w:t>@</w:t>
      </w:r>
      <w:r w:rsidRPr="008D3FE0">
        <w:rPr>
          <w:szCs w:val="24"/>
          <w:lang w:val="en-US"/>
        </w:rPr>
        <w:t>gmail</w:t>
      </w:r>
      <w:r w:rsidRPr="008D3FE0">
        <w:rPr>
          <w:szCs w:val="24"/>
        </w:rPr>
        <w:t>.</w:t>
      </w:r>
      <w:r w:rsidRPr="008D3FE0">
        <w:rPr>
          <w:szCs w:val="24"/>
          <w:lang w:val="en-US"/>
        </w:rPr>
        <w:t>com</w:t>
      </w:r>
      <w:r w:rsidRPr="008D3FE0">
        <w:rPr>
          <w:szCs w:val="24"/>
        </w:rPr>
        <w:t xml:space="preserve"> </w:t>
      </w:r>
    </w:p>
    <w:p w:rsidR="0049762E" w:rsidRPr="008D3FE0" w:rsidRDefault="0049762E" w:rsidP="008D3FE0">
      <w:pPr>
        <w:ind w:firstLine="0"/>
        <w:rPr>
          <w:szCs w:val="24"/>
        </w:rPr>
      </w:pPr>
      <w:r w:rsidRPr="008D3FE0">
        <w:rPr>
          <w:b/>
          <w:szCs w:val="24"/>
        </w:rPr>
        <w:t>Бикеев Роман Александрович</w:t>
      </w:r>
      <w:r w:rsidRPr="008D3FE0">
        <w:rPr>
          <w:szCs w:val="24"/>
        </w:rPr>
        <w:t xml:space="preserve">, кандидат технических наук, доцент, доцент кафедры </w:t>
      </w:r>
      <w:r w:rsidR="00FB79CB" w:rsidRPr="008D3FE0">
        <w:rPr>
          <w:szCs w:val="24"/>
        </w:rPr>
        <w:t xml:space="preserve">АЭТУ </w:t>
      </w:r>
      <w:r w:rsidRPr="008D3FE0">
        <w:rPr>
          <w:szCs w:val="24"/>
        </w:rPr>
        <w:t>НГТУ. Контактная информация: 630073, г. Новосибирск, пр. К. Маркса, 20; раб</w:t>
      </w:r>
      <w:proofErr w:type="gramStart"/>
      <w:r w:rsidRPr="008D3FE0">
        <w:rPr>
          <w:szCs w:val="24"/>
        </w:rPr>
        <w:t>.т</w:t>
      </w:r>
      <w:proofErr w:type="gramEnd"/>
      <w:r w:rsidRPr="008D3FE0">
        <w:rPr>
          <w:szCs w:val="24"/>
        </w:rPr>
        <w:t xml:space="preserve">ел. +7(383)346-30-32; моб.тел. +7(913)902-38-66; </w:t>
      </w:r>
      <w:r w:rsidRPr="008D3FE0">
        <w:rPr>
          <w:szCs w:val="24"/>
          <w:lang w:val="en-US"/>
        </w:rPr>
        <w:t>e</w:t>
      </w:r>
      <w:r w:rsidRPr="008D3FE0">
        <w:rPr>
          <w:szCs w:val="24"/>
        </w:rPr>
        <w:t>-</w:t>
      </w:r>
      <w:r w:rsidRPr="008D3FE0">
        <w:rPr>
          <w:szCs w:val="24"/>
          <w:lang w:val="en-US"/>
        </w:rPr>
        <w:t>mail</w:t>
      </w:r>
      <w:r w:rsidRPr="008D3FE0">
        <w:rPr>
          <w:szCs w:val="24"/>
        </w:rPr>
        <w:t xml:space="preserve">: bikeev@ngs.ru </w:t>
      </w:r>
    </w:p>
    <w:p w:rsidR="0049762E" w:rsidRPr="008D3FE0" w:rsidRDefault="0049762E" w:rsidP="008D3FE0">
      <w:pPr>
        <w:ind w:firstLine="0"/>
        <w:rPr>
          <w:szCs w:val="24"/>
        </w:rPr>
      </w:pPr>
      <w:r w:rsidRPr="008D3FE0">
        <w:rPr>
          <w:b/>
          <w:szCs w:val="24"/>
        </w:rPr>
        <w:t>Сериков Виктор Андреевич</w:t>
      </w:r>
      <w:r w:rsidRPr="008D3FE0">
        <w:rPr>
          <w:szCs w:val="24"/>
        </w:rPr>
        <w:t xml:space="preserve">, аспирант, кафедра </w:t>
      </w:r>
      <w:r w:rsidR="00FB79CB" w:rsidRPr="008D3FE0">
        <w:rPr>
          <w:szCs w:val="24"/>
        </w:rPr>
        <w:t>АЭТУ НГТУ</w:t>
      </w:r>
      <w:r w:rsidRPr="008D3FE0">
        <w:rPr>
          <w:szCs w:val="24"/>
        </w:rPr>
        <w:t>. Почтовый адрес: 630073, г. Новосибирск, пр. К. Маркса, 20; раб</w:t>
      </w:r>
      <w:proofErr w:type="gramStart"/>
      <w:r w:rsidRPr="008D3FE0">
        <w:rPr>
          <w:szCs w:val="24"/>
        </w:rPr>
        <w:t>.</w:t>
      </w:r>
      <w:proofErr w:type="gramEnd"/>
      <w:r w:rsidRPr="008D3FE0">
        <w:rPr>
          <w:szCs w:val="24"/>
        </w:rPr>
        <w:t xml:space="preserve"> </w:t>
      </w:r>
      <w:proofErr w:type="gramStart"/>
      <w:r w:rsidRPr="008D3FE0">
        <w:rPr>
          <w:szCs w:val="24"/>
        </w:rPr>
        <w:t>т</w:t>
      </w:r>
      <w:proofErr w:type="gramEnd"/>
      <w:r w:rsidRPr="008D3FE0">
        <w:rPr>
          <w:szCs w:val="24"/>
        </w:rPr>
        <w:t xml:space="preserve">ел. +7(383)346-30-32; e-mail: victorserikov@yandex.ru </w:t>
      </w:r>
    </w:p>
    <w:p w:rsidR="00FB79CB" w:rsidRPr="008D3FE0" w:rsidRDefault="0049762E" w:rsidP="008D3FE0">
      <w:pPr>
        <w:ind w:firstLine="0"/>
        <w:rPr>
          <w:szCs w:val="24"/>
        </w:rPr>
      </w:pPr>
      <w:r w:rsidRPr="008D3FE0">
        <w:rPr>
          <w:b/>
          <w:szCs w:val="24"/>
        </w:rPr>
        <w:lastRenderedPageBreak/>
        <w:t>Добров Антон Николаевич</w:t>
      </w:r>
      <w:r w:rsidRPr="008D3FE0">
        <w:rPr>
          <w:szCs w:val="24"/>
        </w:rPr>
        <w:t xml:space="preserve">, магистрант, кафедра </w:t>
      </w:r>
      <w:r w:rsidR="00FB79CB" w:rsidRPr="008D3FE0">
        <w:rPr>
          <w:szCs w:val="24"/>
        </w:rPr>
        <w:t>АЭТУ НГТУ</w:t>
      </w:r>
      <w:r w:rsidRPr="008D3FE0">
        <w:rPr>
          <w:szCs w:val="24"/>
        </w:rPr>
        <w:t xml:space="preserve">. Почтовый адрес: 630073, г. Новосибирск, пр. К. Маркса, 20; раб. тел. +7(383)346-30-32; </w:t>
      </w:r>
      <w:r w:rsidRPr="008D3FE0">
        <w:rPr>
          <w:iCs/>
          <w:szCs w:val="24"/>
        </w:rPr>
        <w:t>моб</w:t>
      </w:r>
      <w:proofErr w:type="gramStart"/>
      <w:r w:rsidRPr="008D3FE0">
        <w:rPr>
          <w:iCs/>
          <w:szCs w:val="24"/>
        </w:rPr>
        <w:t>.т</w:t>
      </w:r>
      <w:proofErr w:type="gramEnd"/>
      <w:r w:rsidRPr="008D3FE0">
        <w:rPr>
          <w:iCs/>
          <w:szCs w:val="24"/>
        </w:rPr>
        <w:t>ел. +7(952)927-05-83;</w:t>
      </w:r>
      <w:r w:rsidRPr="008D3FE0">
        <w:rPr>
          <w:szCs w:val="24"/>
        </w:rPr>
        <w:t xml:space="preserve"> e-mail: antdobrov@mail.ru </w:t>
      </w:r>
    </w:p>
    <w:sectPr w:rsidR="00FB79CB" w:rsidRPr="008D3FE0" w:rsidSect="00BE4F9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84A"/>
    <w:rsid w:val="00017624"/>
    <w:rsid w:val="00034376"/>
    <w:rsid w:val="00075F2D"/>
    <w:rsid w:val="000B2122"/>
    <w:rsid w:val="000E68D0"/>
    <w:rsid w:val="00110631"/>
    <w:rsid w:val="00110BE1"/>
    <w:rsid w:val="001224BE"/>
    <w:rsid w:val="0016101A"/>
    <w:rsid w:val="0018313D"/>
    <w:rsid w:val="001A0165"/>
    <w:rsid w:val="001F2118"/>
    <w:rsid w:val="001F5783"/>
    <w:rsid w:val="00204BCE"/>
    <w:rsid w:val="00252795"/>
    <w:rsid w:val="002C3491"/>
    <w:rsid w:val="002E1DC4"/>
    <w:rsid w:val="002E408D"/>
    <w:rsid w:val="00304A2E"/>
    <w:rsid w:val="00310EAE"/>
    <w:rsid w:val="00317976"/>
    <w:rsid w:val="00317C75"/>
    <w:rsid w:val="00355C57"/>
    <w:rsid w:val="003844F8"/>
    <w:rsid w:val="003C2A3A"/>
    <w:rsid w:val="003C513B"/>
    <w:rsid w:val="003E414F"/>
    <w:rsid w:val="003E5391"/>
    <w:rsid w:val="003E5BE0"/>
    <w:rsid w:val="003F07F8"/>
    <w:rsid w:val="003F1988"/>
    <w:rsid w:val="003F463B"/>
    <w:rsid w:val="004774E0"/>
    <w:rsid w:val="00491A68"/>
    <w:rsid w:val="0049762E"/>
    <w:rsid w:val="004A6447"/>
    <w:rsid w:val="004B1753"/>
    <w:rsid w:val="004B7AF7"/>
    <w:rsid w:val="004C0DEA"/>
    <w:rsid w:val="004C3751"/>
    <w:rsid w:val="00503424"/>
    <w:rsid w:val="005221AD"/>
    <w:rsid w:val="005267BE"/>
    <w:rsid w:val="00541B9B"/>
    <w:rsid w:val="00547D2C"/>
    <w:rsid w:val="00555969"/>
    <w:rsid w:val="005B3E90"/>
    <w:rsid w:val="005B412E"/>
    <w:rsid w:val="005E6B42"/>
    <w:rsid w:val="0060569A"/>
    <w:rsid w:val="00617A20"/>
    <w:rsid w:val="00654427"/>
    <w:rsid w:val="0068229C"/>
    <w:rsid w:val="006A4DC0"/>
    <w:rsid w:val="006A6B0F"/>
    <w:rsid w:val="006C44E2"/>
    <w:rsid w:val="006D6313"/>
    <w:rsid w:val="007414D8"/>
    <w:rsid w:val="00746F68"/>
    <w:rsid w:val="007509DD"/>
    <w:rsid w:val="00757638"/>
    <w:rsid w:val="0076484A"/>
    <w:rsid w:val="00794978"/>
    <w:rsid w:val="007B0EAA"/>
    <w:rsid w:val="007D7B7F"/>
    <w:rsid w:val="007E1625"/>
    <w:rsid w:val="008077C8"/>
    <w:rsid w:val="00816AAE"/>
    <w:rsid w:val="008221FE"/>
    <w:rsid w:val="008222DA"/>
    <w:rsid w:val="0085662E"/>
    <w:rsid w:val="0088405E"/>
    <w:rsid w:val="008D3FE0"/>
    <w:rsid w:val="009226CE"/>
    <w:rsid w:val="00925A65"/>
    <w:rsid w:val="009333F4"/>
    <w:rsid w:val="009A2175"/>
    <w:rsid w:val="009A4B54"/>
    <w:rsid w:val="009F4517"/>
    <w:rsid w:val="00A41C03"/>
    <w:rsid w:val="00A42346"/>
    <w:rsid w:val="00A44A28"/>
    <w:rsid w:val="00A55593"/>
    <w:rsid w:val="00A56880"/>
    <w:rsid w:val="00AF362B"/>
    <w:rsid w:val="00B00833"/>
    <w:rsid w:val="00B208B3"/>
    <w:rsid w:val="00B678D3"/>
    <w:rsid w:val="00BA0960"/>
    <w:rsid w:val="00BC7738"/>
    <w:rsid w:val="00BE4F90"/>
    <w:rsid w:val="00C074DB"/>
    <w:rsid w:val="00C33768"/>
    <w:rsid w:val="00C50403"/>
    <w:rsid w:val="00C9436C"/>
    <w:rsid w:val="00CA1847"/>
    <w:rsid w:val="00CA648C"/>
    <w:rsid w:val="00CD7E71"/>
    <w:rsid w:val="00CE1F01"/>
    <w:rsid w:val="00D015D7"/>
    <w:rsid w:val="00D03527"/>
    <w:rsid w:val="00D1612B"/>
    <w:rsid w:val="00D225ED"/>
    <w:rsid w:val="00D61259"/>
    <w:rsid w:val="00D65268"/>
    <w:rsid w:val="00DA50CB"/>
    <w:rsid w:val="00DB4EF2"/>
    <w:rsid w:val="00E037A6"/>
    <w:rsid w:val="00E0787A"/>
    <w:rsid w:val="00E17F9D"/>
    <w:rsid w:val="00E36048"/>
    <w:rsid w:val="00E477CE"/>
    <w:rsid w:val="00E64D54"/>
    <w:rsid w:val="00E8211F"/>
    <w:rsid w:val="00E91AB3"/>
    <w:rsid w:val="00EF7CF6"/>
    <w:rsid w:val="00F76E7C"/>
    <w:rsid w:val="00F84E30"/>
    <w:rsid w:val="00FB79CB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90"/>
    <w:pPr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D7E71"/>
    <w:pPr>
      <w:keepNext/>
      <w:keepLines/>
      <w:spacing w:before="480"/>
      <w:ind w:firstLine="0"/>
      <w:outlineLvl w:val="0"/>
    </w:pPr>
    <w:rPr>
      <w:rFonts w:eastAsia="Times New Roman"/>
      <w:bCs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5C5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7E71"/>
    <w:rPr>
      <w:rFonts w:ascii="Times New Roman" w:hAnsi="Times New Roman"/>
      <w:sz w:val="28"/>
      <w:lang w:eastAsia="en-US"/>
    </w:rPr>
  </w:style>
  <w:style w:type="character" w:customStyle="1" w:styleId="20">
    <w:name w:val="Заголовок 2 Знак"/>
    <w:link w:val="2"/>
    <w:uiPriority w:val="99"/>
    <w:locked/>
    <w:rsid w:val="00355C57"/>
    <w:rPr>
      <w:rFonts w:ascii="Cambria" w:hAnsi="Cambria"/>
      <w:b/>
      <w:color w:val="4F81BD"/>
      <w:sz w:val="26"/>
    </w:rPr>
  </w:style>
  <w:style w:type="paragraph" w:styleId="a3">
    <w:name w:val="Balloon Text"/>
    <w:basedOn w:val="a"/>
    <w:link w:val="a4"/>
    <w:uiPriority w:val="99"/>
    <w:semiHidden/>
    <w:rsid w:val="00355C57"/>
    <w:rPr>
      <w:rFonts w:ascii="Tahoma" w:hAnsi="Tahoma"/>
      <w:sz w:val="16"/>
      <w:szCs w:val="16"/>
      <w:lang w:eastAsia="ko-KR"/>
    </w:rPr>
  </w:style>
  <w:style w:type="character" w:customStyle="1" w:styleId="a4">
    <w:name w:val="Текст выноски Знак"/>
    <w:link w:val="a3"/>
    <w:uiPriority w:val="99"/>
    <w:semiHidden/>
    <w:locked/>
    <w:rsid w:val="00355C57"/>
    <w:rPr>
      <w:rFonts w:ascii="Tahoma" w:eastAsia="Times New Roman" w:hAnsi="Tahoma"/>
      <w:sz w:val="16"/>
    </w:rPr>
  </w:style>
  <w:style w:type="paragraph" w:styleId="a5">
    <w:name w:val="Title"/>
    <w:basedOn w:val="a"/>
    <w:next w:val="a"/>
    <w:link w:val="a6"/>
    <w:uiPriority w:val="99"/>
    <w:qFormat/>
    <w:rsid w:val="00BE4F90"/>
    <w:pPr>
      <w:ind w:firstLine="0"/>
      <w:jc w:val="center"/>
    </w:pPr>
    <w:rPr>
      <w:rFonts w:eastAsia="Times New Roman"/>
      <w:b/>
      <w:spacing w:val="5"/>
      <w:kern w:val="28"/>
      <w:szCs w:val="52"/>
    </w:rPr>
  </w:style>
  <w:style w:type="character" w:customStyle="1" w:styleId="a6">
    <w:name w:val="Название Знак"/>
    <w:link w:val="a5"/>
    <w:uiPriority w:val="99"/>
    <w:locked/>
    <w:rsid w:val="00BE4F90"/>
    <w:rPr>
      <w:rFonts w:ascii="Times New Roman" w:hAnsi="Times New Roman"/>
      <w:b/>
      <w:spacing w:val="5"/>
      <w:kern w:val="28"/>
      <w:sz w:val="52"/>
      <w:lang w:eastAsia="en-US"/>
    </w:rPr>
  </w:style>
  <w:style w:type="paragraph" w:styleId="a7">
    <w:name w:val="Bibliography"/>
    <w:basedOn w:val="a"/>
    <w:next w:val="a"/>
    <w:uiPriority w:val="99"/>
    <w:rsid w:val="003E5BE0"/>
    <w:pPr>
      <w:ind w:firstLine="0"/>
    </w:pPr>
  </w:style>
  <w:style w:type="character" w:styleId="a8">
    <w:name w:val="annotation reference"/>
    <w:uiPriority w:val="99"/>
    <w:semiHidden/>
    <w:rsid w:val="003E5BE0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sid w:val="003E5BE0"/>
    <w:rPr>
      <w:sz w:val="20"/>
      <w:szCs w:val="20"/>
      <w:lang w:eastAsia="ko-KR"/>
    </w:rPr>
  </w:style>
  <w:style w:type="character" w:customStyle="1" w:styleId="aa">
    <w:name w:val="Текст примечания Знак"/>
    <w:link w:val="a9"/>
    <w:uiPriority w:val="99"/>
    <w:semiHidden/>
    <w:locked/>
    <w:rsid w:val="003E5BE0"/>
    <w:rPr>
      <w:rFonts w:ascii="Times New Roman" w:eastAsia="Times New Roman" w:hAnsi="Times New Roman"/>
      <w:sz w:val="20"/>
    </w:rPr>
  </w:style>
  <w:style w:type="paragraph" w:styleId="ab">
    <w:name w:val="annotation subject"/>
    <w:basedOn w:val="a9"/>
    <w:next w:val="a9"/>
    <w:link w:val="ac"/>
    <w:uiPriority w:val="99"/>
    <w:semiHidden/>
    <w:rsid w:val="003E5BE0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3E5BE0"/>
    <w:rPr>
      <w:rFonts w:ascii="Times New Roman" w:eastAsia="Times New Roman" w:hAnsi="Times New Roman"/>
      <w:b/>
      <w:sz w:val="20"/>
    </w:rPr>
  </w:style>
  <w:style w:type="paragraph" w:styleId="ad">
    <w:name w:val="No Spacing"/>
    <w:link w:val="ae"/>
    <w:uiPriority w:val="99"/>
    <w:qFormat/>
    <w:rsid w:val="00310EAE"/>
    <w:pPr>
      <w:ind w:firstLine="709"/>
      <w:jc w:val="both"/>
    </w:pPr>
    <w:rPr>
      <w:rFonts w:ascii="Times New Roman" w:hAnsi="Times New Roman"/>
      <w:sz w:val="24"/>
    </w:rPr>
  </w:style>
  <w:style w:type="character" w:styleId="af">
    <w:name w:val="Placeholder Text"/>
    <w:uiPriority w:val="99"/>
    <w:semiHidden/>
    <w:rsid w:val="003F07F8"/>
    <w:rPr>
      <w:color w:val="808080"/>
    </w:rPr>
  </w:style>
  <w:style w:type="table" w:styleId="af0">
    <w:name w:val="Table Grid"/>
    <w:basedOn w:val="a1"/>
    <w:uiPriority w:val="99"/>
    <w:rsid w:val="00E47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semiHidden/>
    <w:rsid w:val="00757638"/>
    <w:rPr>
      <w:szCs w:val="24"/>
    </w:rPr>
  </w:style>
  <w:style w:type="paragraph" w:customStyle="1" w:styleId="af2">
    <w:name w:val="Формула"/>
    <w:basedOn w:val="a"/>
    <w:link w:val="af3"/>
    <w:uiPriority w:val="99"/>
    <w:rsid w:val="00D65268"/>
    <w:pPr>
      <w:tabs>
        <w:tab w:val="center" w:pos="4536"/>
        <w:tab w:val="right" w:pos="9072"/>
      </w:tabs>
      <w:ind w:firstLine="0"/>
      <w:contextualSpacing/>
      <w:jc w:val="right"/>
    </w:pPr>
    <w:rPr>
      <w:sz w:val="28"/>
      <w:szCs w:val="28"/>
    </w:rPr>
  </w:style>
  <w:style w:type="character" w:customStyle="1" w:styleId="af3">
    <w:name w:val="Формула Знак"/>
    <w:link w:val="af2"/>
    <w:uiPriority w:val="99"/>
    <w:locked/>
    <w:rsid w:val="00D65268"/>
    <w:rPr>
      <w:rFonts w:ascii="Times New Roman" w:hAnsi="Times New Roman"/>
      <w:sz w:val="28"/>
      <w:lang w:eastAsia="en-US"/>
    </w:rPr>
  </w:style>
  <w:style w:type="character" w:customStyle="1" w:styleId="ae">
    <w:name w:val="Без интервала Знак"/>
    <w:link w:val="ad"/>
    <w:uiPriority w:val="99"/>
    <w:locked/>
    <w:rsid w:val="0088405E"/>
    <w:rPr>
      <w:rFonts w:ascii="Times New Roman" w:hAnsi="Times New Roman"/>
      <w:sz w:val="24"/>
    </w:rPr>
  </w:style>
  <w:style w:type="paragraph" w:styleId="af4">
    <w:name w:val="caption"/>
    <w:basedOn w:val="a"/>
    <w:next w:val="a"/>
    <w:uiPriority w:val="99"/>
    <w:qFormat/>
    <w:rsid w:val="007E1625"/>
    <w:pPr>
      <w:ind w:firstLine="0"/>
      <w:jc w:val="center"/>
    </w:pPr>
    <w:rPr>
      <w:b/>
      <w:bCs/>
      <w:color w:val="FFFFFF"/>
      <w:sz w:val="18"/>
      <w:szCs w:val="18"/>
    </w:rPr>
  </w:style>
  <w:style w:type="paragraph" w:customStyle="1" w:styleId="af5">
    <w:name w:val="Илл название"/>
    <w:basedOn w:val="a"/>
    <w:next w:val="a"/>
    <w:link w:val="af6"/>
    <w:uiPriority w:val="99"/>
    <w:rsid w:val="00D015D7"/>
    <w:pPr>
      <w:spacing w:after="240"/>
      <w:ind w:firstLine="0"/>
      <w:contextualSpacing/>
      <w:jc w:val="center"/>
    </w:pPr>
    <w:rPr>
      <w:szCs w:val="18"/>
      <w:lang w:eastAsia="ru-RU"/>
    </w:rPr>
  </w:style>
  <w:style w:type="character" w:customStyle="1" w:styleId="af6">
    <w:name w:val="Илл название Знак"/>
    <w:link w:val="af5"/>
    <w:uiPriority w:val="99"/>
    <w:locked/>
    <w:rsid w:val="00D015D7"/>
    <w:rPr>
      <w:rFonts w:ascii="Times New Roman" w:hAnsi="Times New Roman"/>
      <w:sz w:val="18"/>
      <w:lang w:eastAsia="ru-RU"/>
    </w:rPr>
  </w:style>
  <w:style w:type="paragraph" w:customStyle="1" w:styleId="af7">
    <w:name w:val="Аннотация"/>
    <w:basedOn w:val="a"/>
    <w:link w:val="af8"/>
    <w:uiPriority w:val="99"/>
    <w:rsid w:val="00317976"/>
    <w:pPr>
      <w:spacing w:before="240" w:after="360"/>
      <w:ind w:firstLine="0"/>
      <w:contextualSpacing/>
    </w:pPr>
  </w:style>
  <w:style w:type="character" w:styleId="af9">
    <w:name w:val="Hyperlink"/>
    <w:uiPriority w:val="99"/>
    <w:rsid w:val="00D65268"/>
    <w:rPr>
      <w:rFonts w:cs="Times New Roman"/>
      <w:color w:val="0000FF"/>
      <w:u w:val="single"/>
    </w:rPr>
  </w:style>
  <w:style w:type="character" w:customStyle="1" w:styleId="af8">
    <w:name w:val="Аннотация Знак"/>
    <w:link w:val="af7"/>
    <w:uiPriority w:val="99"/>
    <w:locked/>
    <w:rsid w:val="00317976"/>
    <w:rPr>
      <w:rFonts w:ascii="Times New Roman" w:hAnsi="Times New Roman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3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5.wmf"/><Relationship Id="rId24" Type="http://schemas.openxmlformats.org/officeDocument/2006/relationships/image" Target="media/image12.emf"/><Relationship Id="rId5" Type="http://schemas.openxmlformats.org/officeDocument/2006/relationships/image" Target="media/image1.emf"/><Relationship Id="rId15" Type="http://schemas.openxmlformats.org/officeDocument/2006/relationships/image" Target="media/image7.wmf"/><Relationship Id="rId23" Type="http://schemas.openxmlformats.org/officeDocument/2006/relationships/image" Target="media/image11.emf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Влияние рукавов электрододержателя на электрические параметры трубошинного участка токоподвода дуговой сталеплавильной печи</vt:lpstr>
    </vt:vector>
  </TitlesOfParts>
  <Company>NSTU</Company>
  <LinksUpToDate>false</LinksUpToDate>
  <CharactersWithSpaces>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рукавов электрододержателя на электрические параметры трубошинного участка токоподвода дуговой сталеплавильной печи</dc:title>
  <dc:subject/>
  <dc:creator>VDS AETU</dc:creator>
  <cp:keywords/>
  <dc:description/>
  <cp:lastModifiedBy>Admin</cp:lastModifiedBy>
  <cp:revision>16</cp:revision>
  <cp:lastPrinted>2014-04-25T09:08:00Z</cp:lastPrinted>
  <dcterms:created xsi:type="dcterms:W3CDTF">2014-06-25T07:24:00Z</dcterms:created>
  <dcterms:modified xsi:type="dcterms:W3CDTF">2014-07-08T07:32:00Z</dcterms:modified>
</cp:coreProperties>
</file>