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82" w:rsidRPr="00FB6675" w:rsidRDefault="00C57882" w:rsidP="0070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75">
        <w:rPr>
          <w:rFonts w:ascii="Times New Roman" w:hAnsi="Times New Roman" w:cs="Times New Roman"/>
          <w:sz w:val="24"/>
          <w:szCs w:val="24"/>
        </w:rPr>
        <w:t>УДК 621.01.0016621.833.1/7</w:t>
      </w:r>
    </w:p>
    <w:p w:rsidR="00DD3A14" w:rsidRDefault="00CC33FD" w:rsidP="00FB66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ЭНЕРГО-РЕСУРСО СБЕРЕГАЮШИЕ ПЕРЕДАЧИ ТРАКТОРОВ.</w:t>
      </w:r>
    </w:p>
    <w:p w:rsidR="00FB6675" w:rsidRDefault="00F74311" w:rsidP="007019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Ефимов М.А.,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Заикин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</w:t>
      </w:r>
      <w:r w:rsidR="00DC3994">
        <w:rPr>
          <w:rFonts w:ascii="Times New Roman" w:hAnsi="Times New Roman" w:cs="Times New Roman"/>
          <w:b/>
          <w:sz w:val="24"/>
          <w:szCs w:val="24"/>
        </w:rPr>
        <w:t>Ю.</w:t>
      </w:r>
    </w:p>
    <w:p w:rsidR="00FB6675" w:rsidRPr="00FB6675" w:rsidRDefault="00FB6675" w:rsidP="00FB667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Россия, г. Орел, ОрелГАУ.</w:t>
      </w:r>
    </w:p>
    <w:p w:rsidR="00FB6675" w:rsidRDefault="00DD3A14" w:rsidP="00FB6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675">
        <w:rPr>
          <w:rFonts w:ascii="Times New Roman" w:hAnsi="Times New Roman" w:cs="Times New Roman"/>
          <w:sz w:val="24"/>
          <w:szCs w:val="24"/>
        </w:rPr>
        <w:t>В статье приведена классификация ГТР, дан их сравнительный анализ. Показано,  что применение ГТР обеспечивает повышение</w:t>
      </w:r>
      <w:r w:rsidR="00DA4A30" w:rsidRPr="00FB6675">
        <w:rPr>
          <w:rFonts w:ascii="Times New Roman" w:hAnsi="Times New Roman" w:cs="Times New Roman"/>
          <w:sz w:val="24"/>
          <w:szCs w:val="24"/>
        </w:rPr>
        <w:t xml:space="preserve"> долговечности и</w:t>
      </w:r>
      <w:r w:rsidRPr="00FB6675">
        <w:rPr>
          <w:rFonts w:ascii="Times New Roman" w:hAnsi="Times New Roman" w:cs="Times New Roman"/>
          <w:sz w:val="24"/>
          <w:szCs w:val="24"/>
        </w:rPr>
        <w:t xml:space="preserve"> производительности трактора и снижение количества передач в трансмиссии</w:t>
      </w:r>
      <w:r w:rsidR="00DA4A30" w:rsidRPr="00FB6675">
        <w:rPr>
          <w:rFonts w:ascii="Times New Roman" w:hAnsi="Times New Roman" w:cs="Times New Roman"/>
          <w:sz w:val="24"/>
          <w:szCs w:val="24"/>
        </w:rPr>
        <w:t xml:space="preserve">, что повышает </w:t>
      </w:r>
      <w:proofErr w:type="spellStart"/>
      <w:r w:rsidR="00DA4A30" w:rsidRPr="00FB6675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="00DA4A30" w:rsidRPr="00FB6675">
        <w:rPr>
          <w:rFonts w:ascii="Times New Roman" w:hAnsi="Times New Roman" w:cs="Times New Roman"/>
          <w:sz w:val="24"/>
          <w:szCs w:val="24"/>
        </w:rPr>
        <w:t>-ресурсо</w:t>
      </w:r>
      <w:r w:rsidR="00E961B7">
        <w:rPr>
          <w:rFonts w:ascii="Times New Roman" w:hAnsi="Times New Roman" w:cs="Times New Roman"/>
          <w:sz w:val="24"/>
          <w:szCs w:val="24"/>
        </w:rPr>
        <w:t>сбережение</w:t>
      </w:r>
      <w:r w:rsidR="00DA4A30" w:rsidRPr="00FB6675">
        <w:rPr>
          <w:rFonts w:ascii="Times New Roman" w:hAnsi="Times New Roman" w:cs="Times New Roman"/>
          <w:sz w:val="24"/>
          <w:szCs w:val="24"/>
        </w:rPr>
        <w:t xml:space="preserve"> в АПК.</w:t>
      </w:r>
    </w:p>
    <w:p w:rsidR="00DC3994" w:rsidRDefault="00DC3994" w:rsidP="00FB6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FAD" w:rsidRPr="00613FAD" w:rsidRDefault="008734C8" w:rsidP="00CE0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6675">
        <w:rPr>
          <w:rFonts w:ascii="Times New Roman" w:hAnsi="Times New Roman" w:cs="Times New Roman"/>
          <w:sz w:val="24"/>
          <w:szCs w:val="24"/>
          <w:lang w:val="en-US"/>
        </w:rPr>
        <w:t xml:space="preserve">The article describes the classification of GAD, given their comparative analysis. It is shown that the </w:t>
      </w:r>
      <w:proofErr w:type="gramStart"/>
      <w:r w:rsidRPr="00FB6675">
        <w:rPr>
          <w:rFonts w:ascii="Times New Roman" w:hAnsi="Times New Roman" w:cs="Times New Roman"/>
          <w:sz w:val="24"/>
          <w:szCs w:val="24"/>
          <w:lang w:val="en-US"/>
        </w:rPr>
        <w:t>use of GAD provides increased durability and performance of the tractor and reduce</w:t>
      </w:r>
      <w:proofErr w:type="gramEnd"/>
      <w:r w:rsidRPr="00FB6675">
        <w:rPr>
          <w:rFonts w:ascii="Times New Roman" w:hAnsi="Times New Roman" w:cs="Times New Roman"/>
          <w:sz w:val="24"/>
          <w:szCs w:val="24"/>
          <w:lang w:val="en-US"/>
        </w:rPr>
        <w:t xml:space="preserve"> the number of gears in the transmission, which increases energy and provision of resources in agriculture.</w:t>
      </w:r>
    </w:p>
    <w:p w:rsidR="00CE0EF3" w:rsidRPr="00491328" w:rsidRDefault="00CE0EF3" w:rsidP="00CE0E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33FD" w:rsidRDefault="00576424" w:rsidP="00CE0E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6675">
        <w:rPr>
          <w:rFonts w:ascii="Times New Roman" w:hAnsi="Times New Roman" w:cs="Times New Roman"/>
          <w:sz w:val="24"/>
          <w:szCs w:val="24"/>
        </w:rPr>
        <w:t xml:space="preserve">Перспективным направлением совершенствования тракторов является применение бесступенчатых передач, которые обеспечивают </w:t>
      </w:r>
      <w:r w:rsidR="00A10F77" w:rsidRPr="00FB6675">
        <w:rPr>
          <w:rFonts w:ascii="Times New Roman" w:hAnsi="Times New Roman" w:cs="Times New Roman"/>
          <w:sz w:val="24"/>
          <w:szCs w:val="24"/>
        </w:rPr>
        <w:t xml:space="preserve">автоматическое непрерывное регулирование передаточного числа и повышение на этой основе производительности трактора. Наиболее целесообразное применение, в силу ряда преимуществ, нашли гидродинамические передачи, которые делятся на гидромуфты и гидротрансформаторы и имеют следующие достоинства: обеспечивают идеально плавное </w:t>
      </w:r>
      <w:proofErr w:type="spellStart"/>
      <w:r w:rsidR="00A10F77" w:rsidRPr="00FB6675">
        <w:rPr>
          <w:rFonts w:ascii="Times New Roman" w:hAnsi="Times New Roman" w:cs="Times New Roman"/>
          <w:sz w:val="24"/>
          <w:szCs w:val="24"/>
        </w:rPr>
        <w:t>трогание</w:t>
      </w:r>
      <w:proofErr w:type="spellEnd"/>
      <w:r w:rsidR="00A10F77" w:rsidRPr="00FB6675">
        <w:rPr>
          <w:rFonts w:ascii="Times New Roman" w:hAnsi="Times New Roman" w:cs="Times New Roman"/>
          <w:sz w:val="24"/>
          <w:szCs w:val="24"/>
        </w:rPr>
        <w:t xml:space="preserve">  и разгон трактора</w:t>
      </w:r>
      <w:proofErr w:type="gramStart"/>
      <w:r w:rsidR="00A10F77" w:rsidRPr="00FB66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10F77" w:rsidRPr="00FB6675">
        <w:rPr>
          <w:rFonts w:ascii="Times New Roman" w:hAnsi="Times New Roman" w:cs="Times New Roman"/>
          <w:sz w:val="24"/>
          <w:szCs w:val="24"/>
        </w:rPr>
        <w:t xml:space="preserve"> гасят крутильные колебания коленчатого вала двигателя, снижают</w:t>
      </w:r>
      <w:r w:rsidR="004570A4" w:rsidRPr="00FB6675">
        <w:rPr>
          <w:rFonts w:ascii="Times New Roman" w:hAnsi="Times New Roman" w:cs="Times New Roman"/>
          <w:sz w:val="24"/>
          <w:szCs w:val="24"/>
        </w:rPr>
        <w:t xml:space="preserve"> динамические нагрузки в тракторе, облегчают управление</w:t>
      </w:r>
      <w:r w:rsidR="002D3E22" w:rsidRPr="00FB6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F77" w:rsidRPr="00FB6675">
        <w:rPr>
          <w:rFonts w:ascii="Times New Roman" w:hAnsi="Times New Roman" w:cs="Times New Roman"/>
          <w:sz w:val="24"/>
          <w:szCs w:val="24"/>
        </w:rPr>
        <w:t>троганием</w:t>
      </w:r>
      <w:proofErr w:type="spellEnd"/>
      <w:r w:rsidR="00A10F77" w:rsidRPr="00FB6675">
        <w:rPr>
          <w:rFonts w:ascii="Times New Roman" w:hAnsi="Times New Roman" w:cs="Times New Roman"/>
          <w:sz w:val="24"/>
          <w:szCs w:val="24"/>
        </w:rPr>
        <w:t xml:space="preserve"> и остановкой </w:t>
      </w:r>
      <w:r w:rsidR="00F81BA2" w:rsidRPr="00FB6675">
        <w:rPr>
          <w:rFonts w:ascii="Times New Roman" w:hAnsi="Times New Roman" w:cs="Times New Roman"/>
          <w:sz w:val="24"/>
          <w:szCs w:val="24"/>
        </w:rPr>
        <w:t>трактора с помощью только педали управление подачей топлива. К недостатку обычно относят низкий  КПД (0,87…0,92).</w:t>
      </w:r>
      <w:r w:rsidR="002D3E22" w:rsidRPr="00FB6675">
        <w:rPr>
          <w:rFonts w:ascii="Times New Roman" w:hAnsi="Times New Roman" w:cs="Times New Roman"/>
          <w:sz w:val="24"/>
          <w:szCs w:val="24"/>
        </w:rPr>
        <w:t xml:space="preserve"> </w:t>
      </w:r>
      <w:r w:rsidR="00DA4A30" w:rsidRPr="00FB6675">
        <w:rPr>
          <w:rFonts w:ascii="Times New Roman" w:hAnsi="Times New Roman" w:cs="Times New Roman"/>
          <w:sz w:val="24"/>
          <w:szCs w:val="24"/>
        </w:rPr>
        <w:t>Это объяснятся тем, что в ГТР происходит двойное преобразование одного вида энергии в другой.</w:t>
      </w:r>
    </w:p>
    <w:p w:rsidR="00613FAD" w:rsidRDefault="00DA4A30" w:rsidP="00CE0E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6675">
        <w:rPr>
          <w:rFonts w:ascii="Times New Roman" w:hAnsi="Times New Roman" w:cs="Times New Roman"/>
          <w:sz w:val="24"/>
          <w:szCs w:val="24"/>
        </w:rPr>
        <w:t xml:space="preserve">Гидромуфта (ГМ) имеет два колеса: насосное и турбинное. Её основным свойством является равенство моментов на насосном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М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FB6675">
        <w:rPr>
          <w:rFonts w:ascii="Times New Roman" w:hAnsi="Times New Roman" w:cs="Times New Roman"/>
          <w:sz w:val="24"/>
          <w:szCs w:val="24"/>
        </w:rPr>
        <w:t xml:space="preserve"> и турбинном колёсах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М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FB6675">
        <w:rPr>
          <w:rFonts w:ascii="Times New Roman" w:hAnsi="Times New Roman" w:cs="Times New Roman"/>
          <w:sz w:val="24"/>
          <w:szCs w:val="24"/>
        </w:rPr>
        <w:t>.</w:t>
      </w:r>
    </w:p>
    <w:p w:rsidR="00CE0EF3" w:rsidRDefault="004F68BF" w:rsidP="004B454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667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242570</wp:posOffset>
            </wp:positionV>
            <wp:extent cx="2741295" cy="2919730"/>
            <wp:effectExtent l="19050" t="0" r="1905" b="0"/>
            <wp:wrapTight wrapText="bothSides">
              <wp:wrapPolygon edited="0">
                <wp:start x="-150" y="0"/>
                <wp:lineTo x="-150" y="21421"/>
                <wp:lineTo x="21615" y="21421"/>
                <wp:lineTo x="21615" y="0"/>
                <wp:lineTo x="-150" y="0"/>
              </wp:wrapPolygon>
            </wp:wrapTight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291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0A4" w:rsidRPr="00FB6675">
        <w:rPr>
          <w:rFonts w:ascii="Times New Roman" w:hAnsi="Times New Roman" w:cs="Times New Roman"/>
          <w:sz w:val="24"/>
          <w:szCs w:val="24"/>
        </w:rPr>
        <w:t xml:space="preserve"> </w:t>
      </w:r>
      <w:r w:rsidR="00F81BA2" w:rsidRPr="00FB6675">
        <w:rPr>
          <w:rFonts w:ascii="Times New Roman" w:hAnsi="Times New Roman" w:cs="Times New Roman"/>
          <w:b/>
          <w:sz w:val="24"/>
          <w:szCs w:val="24"/>
        </w:rPr>
        <w:t>Гидродинамический трансформатор</w:t>
      </w:r>
      <w:r w:rsidR="00F81BA2" w:rsidRPr="00FB6675">
        <w:rPr>
          <w:rFonts w:ascii="Times New Roman" w:hAnsi="Times New Roman" w:cs="Times New Roman"/>
          <w:sz w:val="24"/>
          <w:szCs w:val="24"/>
        </w:rPr>
        <w:t xml:space="preserve"> (ГТР) имеет три колеса: насосное (Н</w:t>
      </w:r>
      <w:r w:rsidR="00BC1052" w:rsidRPr="00FB6675">
        <w:rPr>
          <w:rFonts w:ascii="Times New Roman" w:hAnsi="Times New Roman" w:cs="Times New Roman"/>
          <w:sz w:val="24"/>
          <w:szCs w:val="24"/>
        </w:rPr>
        <w:t>), турбинное (Т), и направляющий аппарат</w:t>
      </w:r>
      <w:r w:rsidR="00F81BA2" w:rsidRPr="00FB6675">
        <w:rPr>
          <w:rFonts w:ascii="Times New Roman" w:hAnsi="Times New Roman" w:cs="Times New Roman"/>
          <w:sz w:val="24"/>
          <w:szCs w:val="24"/>
        </w:rPr>
        <w:t xml:space="preserve"> (Н.А.). </w:t>
      </w:r>
      <w:r w:rsidR="00162357" w:rsidRPr="00FB6675">
        <w:rPr>
          <w:rFonts w:ascii="Times New Roman" w:hAnsi="Times New Roman" w:cs="Times New Roman"/>
          <w:sz w:val="24"/>
          <w:szCs w:val="24"/>
        </w:rPr>
        <w:t xml:space="preserve">Основным свойством ГТР является преобразование (изменение) крутящего момента, т.е.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М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М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="00162357" w:rsidRPr="00FB6675">
        <w:rPr>
          <w:rFonts w:ascii="Times New Roman" w:hAnsi="Times New Roman" w:cs="Times New Roman"/>
          <w:sz w:val="24"/>
          <w:szCs w:val="24"/>
        </w:rPr>
        <w:t xml:space="preserve"> .  Т</w:t>
      </w:r>
      <w:r w:rsidR="00263D98" w:rsidRPr="00FB6675">
        <w:rPr>
          <w:rFonts w:ascii="Times New Roman" w:hAnsi="Times New Roman" w:cs="Times New Roman"/>
          <w:sz w:val="24"/>
          <w:szCs w:val="24"/>
        </w:rPr>
        <w:t xml:space="preserve">рансформирующие свойства ГТР оцениваются </w:t>
      </w:r>
      <w:r w:rsidR="004570A4" w:rsidRPr="00FB6675">
        <w:rPr>
          <w:rFonts w:ascii="Times New Roman" w:hAnsi="Times New Roman" w:cs="Times New Roman"/>
          <w:sz w:val="24"/>
          <w:szCs w:val="24"/>
        </w:rPr>
        <w:t>коэффициент</w:t>
      </w:r>
      <w:r w:rsidR="00162357" w:rsidRPr="00FB6675">
        <w:rPr>
          <w:rFonts w:ascii="Times New Roman" w:hAnsi="Times New Roman" w:cs="Times New Roman"/>
          <w:sz w:val="24"/>
          <w:szCs w:val="24"/>
        </w:rPr>
        <w:t>ом</w:t>
      </w:r>
      <w:r w:rsidR="004570A4" w:rsidRPr="00FB6675">
        <w:rPr>
          <w:rFonts w:ascii="Times New Roman" w:hAnsi="Times New Roman" w:cs="Times New Roman"/>
          <w:sz w:val="24"/>
          <w:szCs w:val="24"/>
        </w:rPr>
        <w:t xml:space="preserve"> трансформации</w:t>
      </w:r>
      <w:proofErr w:type="gramStart"/>
      <w:r w:rsidR="004570A4" w:rsidRPr="00FB667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>К</m:t>
        </m:r>
        <w:proofErr w:type="gramEnd"/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М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М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den>
        </m:f>
      </m:oMath>
      <w:r w:rsidR="004570A4" w:rsidRPr="00FB6675">
        <w:rPr>
          <w:rFonts w:ascii="Times New Roman" w:hAnsi="Times New Roman" w:cs="Times New Roman"/>
          <w:sz w:val="24"/>
          <w:szCs w:val="24"/>
        </w:rPr>
        <w:t xml:space="preserve">.  В </w:t>
      </w:r>
      <w:r w:rsidR="001D77D5" w:rsidRPr="00FB6675">
        <w:rPr>
          <w:rFonts w:ascii="Times New Roman" w:hAnsi="Times New Roman" w:cs="Times New Roman"/>
          <w:sz w:val="24"/>
          <w:szCs w:val="24"/>
        </w:rPr>
        <w:t>существующих ГТР тракторов коэффициент «К» находится в пределах 2,8…4,5 (умеренные преобразующие свойства).</w:t>
      </w:r>
      <w:r w:rsidR="006729AE" w:rsidRPr="00FB6675">
        <w:rPr>
          <w:rFonts w:ascii="Times New Roman" w:hAnsi="Times New Roman" w:cs="Times New Roman"/>
          <w:sz w:val="24"/>
          <w:szCs w:val="24"/>
        </w:rPr>
        <w:t xml:space="preserve"> </w:t>
      </w:r>
      <w:r w:rsidR="00162357" w:rsidRPr="00FB6675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="00162357" w:rsidRPr="00FB6675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162357" w:rsidRPr="00FB6675">
        <w:rPr>
          <w:rFonts w:ascii="Times New Roman" w:hAnsi="Times New Roman" w:cs="Times New Roman"/>
          <w:sz w:val="24"/>
          <w:szCs w:val="24"/>
        </w:rPr>
        <w:t xml:space="preserve"> ГТР частично выполняет функции трансмиссии трактора, а примене</w:t>
      </w:r>
      <w:r w:rsidR="00421EA5" w:rsidRPr="00FB6675">
        <w:rPr>
          <w:rFonts w:ascii="Times New Roman" w:hAnsi="Times New Roman" w:cs="Times New Roman"/>
          <w:sz w:val="24"/>
          <w:szCs w:val="24"/>
        </w:rPr>
        <w:t>ние его более предпочтительнее.</w:t>
      </w:r>
      <w:r w:rsidR="00CC33FD" w:rsidRPr="00CC33F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E0EF3" w:rsidRDefault="00CE0EF3" w:rsidP="004B454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6675">
        <w:rPr>
          <w:rFonts w:ascii="Times New Roman" w:hAnsi="Times New Roman" w:cs="Times New Roman"/>
          <w:sz w:val="24"/>
          <w:szCs w:val="24"/>
          <w:u w:val="single"/>
        </w:rPr>
        <w:t>Классификация ГТР</w:t>
      </w:r>
      <w:r w:rsidRPr="00FB6675">
        <w:rPr>
          <w:rFonts w:ascii="Times New Roman" w:hAnsi="Times New Roman" w:cs="Times New Roman"/>
          <w:sz w:val="24"/>
          <w:szCs w:val="24"/>
        </w:rPr>
        <w:t>.  По способу закрепления направляющего аппарата ГТР  бывают простые и комплексные; по количеству направляющих аппаратов комплексные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675">
        <w:rPr>
          <w:rFonts w:ascii="Times New Roman" w:hAnsi="Times New Roman" w:cs="Times New Roman"/>
          <w:sz w:val="24"/>
          <w:szCs w:val="24"/>
        </w:rPr>
        <w:t>ГТР  бывают одн</w:t>
      </w:r>
      <w:proofErr w:type="gramStart"/>
      <w:r w:rsidRPr="00FB66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B66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6675">
        <w:rPr>
          <w:rFonts w:ascii="Times New Roman" w:hAnsi="Times New Roman" w:cs="Times New Roman"/>
          <w:sz w:val="24"/>
          <w:szCs w:val="24"/>
        </w:rPr>
        <w:t>двухреакторные</w:t>
      </w:r>
      <w:proofErr w:type="spellEnd"/>
      <w:r w:rsidRPr="00FB6675">
        <w:rPr>
          <w:rFonts w:ascii="Times New Roman" w:hAnsi="Times New Roman" w:cs="Times New Roman"/>
          <w:sz w:val="24"/>
          <w:szCs w:val="24"/>
        </w:rPr>
        <w:t>;</w:t>
      </w:r>
      <w:r w:rsidRPr="00CE0EF3">
        <w:rPr>
          <w:rFonts w:ascii="Times New Roman" w:hAnsi="Times New Roman" w:cs="Times New Roman"/>
          <w:sz w:val="24"/>
          <w:szCs w:val="24"/>
        </w:rPr>
        <w:t xml:space="preserve"> </w:t>
      </w:r>
      <w:r w:rsidRPr="00FB6675">
        <w:rPr>
          <w:rFonts w:ascii="Times New Roman" w:hAnsi="Times New Roman" w:cs="Times New Roman"/>
          <w:sz w:val="24"/>
          <w:szCs w:val="24"/>
        </w:rPr>
        <w:t>по наличию блокировочного устройства  ГТР  бывают неблокируемые и блокируемые; по количеству ступеней турбинного колеса ГТР  бывают одно-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675">
        <w:rPr>
          <w:rFonts w:ascii="Times New Roman" w:hAnsi="Times New Roman" w:cs="Times New Roman"/>
          <w:sz w:val="24"/>
          <w:szCs w:val="24"/>
        </w:rPr>
        <w:t>многоступенчатые.</w:t>
      </w:r>
      <w:r w:rsidRPr="00CE0E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48" w:rsidRDefault="00CE0EF3" w:rsidP="00CE0E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6675">
        <w:rPr>
          <w:rFonts w:ascii="Times New Roman" w:hAnsi="Times New Roman" w:cs="Times New Roman"/>
          <w:sz w:val="24"/>
          <w:szCs w:val="24"/>
        </w:rPr>
        <w:lastRenderedPageBreak/>
        <w:t xml:space="preserve">На рисунке 1 показана схема </w:t>
      </w:r>
      <w:proofErr w:type="gramStart"/>
      <w:r w:rsidRPr="00FB6675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FB6675">
        <w:rPr>
          <w:rFonts w:ascii="Times New Roman" w:hAnsi="Times New Roman" w:cs="Times New Roman"/>
          <w:sz w:val="24"/>
          <w:szCs w:val="24"/>
        </w:rPr>
        <w:t xml:space="preserve"> ГТР. У него направляющий аппарат всегда неподвижен и ГТР  во</w:t>
      </w:r>
      <w:r w:rsidRPr="00FB667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417195</wp:posOffset>
            </wp:positionV>
            <wp:extent cx="2978785" cy="2976880"/>
            <wp:effectExtent l="19050" t="0" r="0" b="0"/>
            <wp:wrapTight wrapText="bothSides">
              <wp:wrapPolygon edited="0">
                <wp:start x="-138" y="0"/>
                <wp:lineTo x="-138" y="21425"/>
                <wp:lineTo x="21549" y="21425"/>
                <wp:lineTo x="21549" y="0"/>
                <wp:lineTo x="-138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297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6675">
        <w:rPr>
          <w:rFonts w:ascii="Times New Roman" w:hAnsi="Times New Roman" w:cs="Times New Roman"/>
          <w:sz w:val="24"/>
          <w:szCs w:val="24"/>
        </w:rPr>
        <w:t xml:space="preserve"> всем  диапазоне нагрузок работает в режиме трансформации крутящего момента</w:t>
      </w:r>
      <w:r w:rsidR="004B4548" w:rsidRPr="00FB667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</w:t>
      </w:r>
      <w:r w:rsidR="004B454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C33FD" w:rsidRDefault="004B4548" w:rsidP="004B454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6675">
        <w:rPr>
          <w:rFonts w:ascii="Times New Roman" w:hAnsi="Times New Roman" w:cs="Times New Roman"/>
          <w:sz w:val="24"/>
          <w:szCs w:val="24"/>
        </w:rPr>
        <w:t xml:space="preserve">На рисунке 2 показана схема </w:t>
      </w:r>
      <w:proofErr w:type="gramStart"/>
      <w:r w:rsidRPr="00FB6675">
        <w:rPr>
          <w:rFonts w:ascii="Times New Roman" w:hAnsi="Times New Roman" w:cs="Times New Roman"/>
          <w:sz w:val="24"/>
          <w:szCs w:val="24"/>
        </w:rPr>
        <w:t>комплексного</w:t>
      </w:r>
      <w:proofErr w:type="gramEnd"/>
      <w:r w:rsidRPr="00FB6675">
        <w:rPr>
          <w:rFonts w:ascii="Times New Roman" w:hAnsi="Times New Roman" w:cs="Times New Roman"/>
          <w:sz w:val="24"/>
          <w:szCs w:val="24"/>
        </w:rPr>
        <w:t xml:space="preserve"> однореакторного ГТР.</w:t>
      </w:r>
      <w:r w:rsidRPr="00FB667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gramStart"/>
      <w:r w:rsidRPr="00FB6675">
        <w:rPr>
          <w:rFonts w:ascii="Times New Roman" w:hAnsi="Times New Roman" w:cs="Times New Roman"/>
          <w:sz w:val="24"/>
          <w:szCs w:val="24"/>
        </w:rPr>
        <w:t>У него направляющий аппарат установлен</w:t>
      </w:r>
      <w:r w:rsidR="00CC33FD" w:rsidRPr="00FB6675">
        <w:rPr>
          <w:rFonts w:ascii="Times New Roman" w:hAnsi="Times New Roman" w:cs="Times New Roman"/>
          <w:sz w:val="24"/>
          <w:szCs w:val="24"/>
        </w:rPr>
        <w:t xml:space="preserve">а </w:t>
      </w:r>
      <w:r w:rsidR="00CC33FD" w:rsidRPr="00FB6675">
        <w:rPr>
          <w:rFonts w:ascii="Times New Roman" w:hAnsi="Times New Roman" w:cs="Times New Roman"/>
          <w:b/>
          <w:sz w:val="24"/>
          <w:szCs w:val="24"/>
        </w:rPr>
        <w:t>муфте свободного хода</w:t>
      </w:r>
      <w:r w:rsidR="00CC33FD" w:rsidRPr="00FB6675">
        <w:rPr>
          <w:rFonts w:ascii="Times New Roman" w:hAnsi="Times New Roman" w:cs="Times New Roman"/>
          <w:sz w:val="24"/>
          <w:szCs w:val="24"/>
        </w:rPr>
        <w:t xml:space="preserve"> (МСХ).</w:t>
      </w:r>
      <w:proofErr w:type="gramEnd"/>
      <w:r w:rsidR="00CC33FD" w:rsidRPr="00FB6675">
        <w:rPr>
          <w:rFonts w:ascii="Times New Roman" w:hAnsi="Times New Roman" w:cs="Times New Roman"/>
          <w:sz w:val="24"/>
          <w:szCs w:val="24"/>
        </w:rPr>
        <w:t xml:space="preserve"> МСХ устроена таким образом, что при больших и средних нагрузках, когда от ГТР  нужны преобразующие свойства, она удерживает направляющей аппарат от вращения. При малых нагрузках, когда достаточно передавать крутящий момент без изменения, МСХ освобождает направляющий аппарат и ГТР  переходит в режим работы ГМ. При этом КПД  ГТР  возрастает и рабочая зона за счет этого расширяется в сторону увеличивающегося КПД.</w:t>
      </w:r>
    </w:p>
    <w:p w:rsidR="00162357" w:rsidRPr="00FB6675" w:rsidRDefault="00162357" w:rsidP="004B4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3FAD" w:rsidRDefault="004F68BF" w:rsidP="004B4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667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231775</wp:posOffset>
            </wp:positionV>
            <wp:extent cx="2840990" cy="2700655"/>
            <wp:effectExtent l="19050" t="0" r="0" b="0"/>
            <wp:wrapTight wrapText="bothSides">
              <wp:wrapPolygon edited="0">
                <wp:start x="-145" y="0"/>
                <wp:lineTo x="-145" y="21483"/>
                <wp:lineTo x="21581" y="21483"/>
                <wp:lineTo x="21581" y="0"/>
                <wp:lineTo x="-145" y="0"/>
              </wp:wrapPolygon>
            </wp:wrapTight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357" w:rsidRPr="00FB6675">
        <w:rPr>
          <w:rFonts w:ascii="Times New Roman" w:hAnsi="Times New Roman" w:cs="Times New Roman"/>
          <w:sz w:val="24"/>
          <w:szCs w:val="24"/>
        </w:rPr>
        <w:t>На рисунке</w:t>
      </w:r>
      <w:r w:rsidR="00D029D9" w:rsidRPr="00FB6675">
        <w:rPr>
          <w:rFonts w:ascii="Times New Roman" w:hAnsi="Times New Roman" w:cs="Times New Roman"/>
          <w:sz w:val="24"/>
          <w:szCs w:val="24"/>
        </w:rPr>
        <w:t xml:space="preserve"> 3 показана схема комплексного </w:t>
      </w:r>
      <w:proofErr w:type="spellStart"/>
      <w:r w:rsidR="00D029D9" w:rsidRPr="00FB6675">
        <w:rPr>
          <w:rFonts w:ascii="Times New Roman" w:hAnsi="Times New Roman" w:cs="Times New Roman"/>
          <w:sz w:val="24"/>
          <w:szCs w:val="24"/>
        </w:rPr>
        <w:t>двухреакторного</w:t>
      </w:r>
      <w:proofErr w:type="spellEnd"/>
      <w:r w:rsidR="00D029D9" w:rsidRPr="00FB6675">
        <w:rPr>
          <w:rFonts w:ascii="Times New Roman" w:hAnsi="Times New Roman" w:cs="Times New Roman"/>
          <w:sz w:val="24"/>
          <w:szCs w:val="24"/>
        </w:rPr>
        <w:t xml:space="preserve">  ГТР</w:t>
      </w:r>
      <w:proofErr w:type="gramStart"/>
      <w:r w:rsidR="00D029D9" w:rsidRPr="00FB66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029D9" w:rsidRPr="00FB6675">
        <w:rPr>
          <w:rFonts w:ascii="Times New Roman" w:hAnsi="Times New Roman" w:cs="Times New Roman"/>
          <w:sz w:val="24"/>
          <w:szCs w:val="24"/>
        </w:rPr>
        <w:t xml:space="preserve"> который имеет два направляющих аппарата (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Н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="00D029D9" w:rsidRPr="00FB6675">
        <w:rPr>
          <w:rFonts w:ascii="Times New Roman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Н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="00D029D9" w:rsidRPr="00FB6675">
        <w:rPr>
          <w:rFonts w:ascii="Times New Roman" w:hAnsi="Times New Roman" w:cs="Times New Roman"/>
          <w:sz w:val="24"/>
          <w:szCs w:val="24"/>
        </w:rPr>
        <w:t>), каждый из которых установлен на своей муфте свободного хода (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МСХ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="009F5417" w:rsidRPr="00FB6675">
        <w:rPr>
          <w:rFonts w:ascii="Times New Roman" w:hAnsi="Times New Roman" w:cs="Times New Roman"/>
          <w:sz w:val="24"/>
          <w:szCs w:val="24"/>
        </w:rPr>
        <w:t xml:space="preserve"> </w:t>
      </w:r>
      <w:r w:rsidR="00D029D9" w:rsidRPr="00FB6675">
        <w:rPr>
          <w:rFonts w:ascii="Times New Roman" w:hAnsi="Times New Roman" w:cs="Times New Roman"/>
          <w:sz w:val="24"/>
          <w:szCs w:val="24"/>
        </w:rPr>
        <w:t>и</w:t>
      </w:r>
      <w:r w:rsidR="009F5417" w:rsidRPr="00FB6675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МСХ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="00D029D9" w:rsidRPr="00FB6675">
        <w:rPr>
          <w:rFonts w:ascii="Times New Roman" w:hAnsi="Times New Roman" w:cs="Times New Roman"/>
          <w:sz w:val="24"/>
          <w:szCs w:val="24"/>
        </w:rPr>
        <w:t>).</w:t>
      </w:r>
      <w:r w:rsidR="00A3401F" w:rsidRPr="00FB667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029D9" w:rsidRPr="00FB6675">
        <w:rPr>
          <w:rFonts w:ascii="Times New Roman" w:hAnsi="Times New Roman" w:cs="Times New Roman"/>
          <w:sz w:val="24"/>
          <w:szCs w:val="24"/>
        </w:rPr>
        <w:t xml:space="preserve"> МСХ  устроены таким образом, что при больших нагрузках оба направляющих аппарата неподвижны, при средних нагрузках освобождается первый направляющий аппарат. В обоих случаях ГТР  работает в режиме трансформации крутящего момента, </w:t>
      </w:r>
      <w:r w:rsidR="00E34E02" w:rsidRPr="00FB6675">
        <w:rPr>
          <w:rFonts w:ascii="Times New Roman" w:hAnsi="Times New Roman" w:cs="Times New Roman"/>
          <w:sz w:val="24"/>
          <w:szCs w:val="24"/>
        </w:rPr>
        <w:t xml:space="preserve">но с разным КПД. При малых нагрузках освобождается и второй направляющий аппарат, ГТР  переходит в режим </w:t>
      </w:r>
      <w:r w:rsidR="00162357" w:rsidRPr="00FB6675">
        <w:rPr>
          <w:rFonts w:ascii="Times New Roman" w:hAnsi="Times New Roman" w:cs="Times New Roman"/>
          <w:sz w:val="24"/>
          <w:szCs w:val="24"/>
        </w:rPr>
        <w:t>ГМ</w:t>
      </w:r>
      <w:r w:rsidR="00E34E02" w:rsidRPr="00FB6675">
        <w:rPr>
          <w:rFonts w:ascii="Times New Roman" w:hAnsi="Times New Roman" w:cs="Times New Roman"/>
          <w:sz w:val="24"/>
          <w:szCs w:val="24"/>
        </w:rPr>
        <w:t>. В итоге этот ГТР  имеет более широкую рабочую зону.</w:t>
      </w:r>
    </w:p>
    <w:p w:rsidR="001556AF" w:rsidRPr="00CC33FD" w:rsidRDefault="001556AF" w:rsidP="004B4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33FD" w:rsidRDefault="00CC33FD" w:rsidP="004B4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6675">
        <w:rPr>
          <w:rFonts w:ascii="Times New Roman" w:hAnsi="Times New Roman" w:cs="Times New Roman"/>
          <w:sz w:val="24"/>
          <w:szCs w:val="24"/>
        </w:rPr>
        <w:t xml:space="preserve">На рисунке 4 показана схема </w:t>
      </w:r>
      <w:proofErr w:type="gramStart"/>
      <w:r w:rsidRPr="00FB6675">
        <w:rPr>
          <w:rFonts w:ascii="Times New Roman" w:hAnsi="Times New Roman" w:cs="Times New Roman"/>
          <w:sz w:val="24"/>
          <w:szCs w:val="24"/>
        </w:rPr>
        <w:t>блокируемого</w:t>
      </w:r>
      <w:proofErr w:type="gramEnd"/>
      <w:r w:rsidRPr="00FB6675">
        <w:rPr>
          <w:rFonts w:ascii="Times New Roman" w:hAnsi="Times New Roman" w:cs="Times New Roman"/>
          <w:sz w:val="24"/>
          <w:szCs w:val="24"/>
        </w:rPr>
        <w:t xml:space="preserve"> ГТР, который в отличие от предыдущих  имеет блокировочное устройство.</w:t>
      </w:r>
      <w:r w:rsidRPr="00FB6675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FB6675">
        <w:rPr>
          <w:rFonts w:ascii="Times New Roman" w:hAnsi="Times New Roman" w:cs="Times New Roman"/>
          <w:sz w:val="24"/>
          <w:szCs w:val="24"/>
        </w:rPr>
        <w:t>В этой схеме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675">
        <w:rPr>
          <w:rFonts w:ascii="Times New Roman" w:hAnsi="Times New Roman" w:cs="Times New Roman"/>
          <w:sz w:val="24"/>
          <w:szCs w:val="24"/>
        </w:rPr>
        <w:t>блокировочного</w:t>
      </w:r>
      <w:r>
        <w:rPr>
          <w:rFonts w:ascii="Times New Roman" w:hAnsi="Times New Roman" w:cs="Times New Roman"/>
          <w:sz w:val="24"/>
          <w:szCs w:val="24"/>
        </w:rPr>
        <w:t xml:space="preserve"> устройства </w:t>
      </w:r>
      <w:r w:rsidRPr="00FB6675">
        <w:rPr>
          <w:rFonts w:ascii="Times New Roman" w:hAnsi="Times New Roman" w:cs="Times New Roman"/>
          <w:sz w:val="24"/>
          <w:szCs w:val="24"/>
        </w:rPr>
        <w:t xml:space="preserve">применен </w:t>
      </w:r>
      <w:r w:rsidRPr="00FB6675">
        <w:rPr>
          <w:rFonts w:ascii="Times New Roman" w:hAnsi="Times New Roman" w:cs="Times New Roman"/>
          <w:b/>
          <w:sz w:val="24"/>
          <w:szCs w:val="24"/>
        </w:rPr>
        <w:t>блокировочный фрикцион</w:t>
      </w:r>
      <w:r w:rsidRPr="00FB6675">
        <w:rPr>
          <w:rFonts w:ascii="Times New Roman" w:hAnsi="Times New Roman" w:cs="Times New Roman"/>
          <w:sz w:val="24"/>
          <w:szCs w:val="24"/>
        </w:rPr>
        <w:t xml:space="preserve"> (БФ). Когда на трактор действуют постоянно изменяющиеся </w:t>
      </w:r>
      <w:proofErr w:type="gramStart"/>
      <w:r w:rsidRPr="00FB6675">
        <w:rPr>
          <w:rFonts w:ascii="Times New Roman" w:hAnsi="Times New Roman" w:cs="Times New Roman"/>
          <w:sz w:val="24"/>
          <w:szCs w:val="24"/>
        </w:rPr>
        <w:t>нагрузки</w:t>
      </w:r>
      <w:proofErr w:type="gramEnd"/>
      <w:r w:rsidRPr="00FB6675">
        <w:rPr>
          <w:rFonts w:ascii="Times New Roman" w:hAnsi="Times New Roman" w:cs="Times New Roman"/>
          <w:sz w:val="24"/>
          <w:szCs w:val="24"/>
        </w:rPr>
        <w:t xml:space="preserve"> то ГТР  должен работать в режиме трансформации крутящего момента. В этом случае БФ выключают. При постоянных нагрузках на трактор достаточно, чтобы ГТР  просто передавал крутящий момент без изменений. В этом случае БФ  включают. Тогда крутящий 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B90" w:rsidRPr="00FB6675">
        <w:rPr>
          <w:rFonts w:ascii="Times New Roman" w:hAnsi="Times New Roman" w:cs="Times New Roman"/>
          <w:sz w:val="24"/>
          <w:szCs w:val="24"/>
        </w:rPr>
        <w:t>передается механическим путем</w:t>
      </w:r>
      <w:r w:rsidR="009F5417" w:rsidRPr="00FB6675">
        <w:rPr>
          <w:rFonts w:ascii="Times New Roman" w:hAnsi="Times New Roman" w:cs="Times New Roman"/>
          <w:sz w:val="24"/>
          <w:szCs w:val="24"/>
        </w:rPr>
        <w:t xml:space="preserve"> от</w:t>
      </w:r>
      <w:r w:rsidR="00916B90" w:rsidRPr="00FB6675">
        <w:rPr>
          <w:rFonts w:ascii="Times New Roman" w:hAnsi="Times New Roman" w:cs="Times New Roman"/>
          <w:sz w:val="24"/>
          <w:szCs w:val="24"/>
        </w:rPr>
        <w:t xml:space="preserve">  вала 1 к валу 2 </w:t>
      </w:r>
      <w:proofErr w:type="gramStart"/>
      <w:r w:rsidR="00916B90" w:rsidRPr="00FB667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916B90" w:rsidRPr="00FB66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3FD" w:rsidRPr="00FB6675" w:rsidRDefault="00CC33FD" w:rsidP="00CC33FD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6675">
        <w:rPr>
          <w:rFonts w:ascii="Times New Roman" w:hAnsi="Times New Roman" w:cs="Times New Roman"/>
          <w:sz w:val="24"/>
          <w:szCs w:val="24"/>
        </w:rPr>
        <w:t xml:space="preserve">На рисунке 5 показана схема </w:t>
      </w:r>
      <w:proofErr w:type="gramStart"/>
      <w:r w:rsidRPr="00FB6675">
        <w:rPr>
          <w:rFonts w:ascii="Times New Roman" w:hAnsi="Times New Roman" w:cs="Times New Roman"/>
          <w:sz w:val="24"/>
          <w:szCs w:val="24"/>
        </w:rPr>
        <w:t>трехступенчатого</w:t>
      </w:r>
      <w:proofErr w:type="gramEnd"/>
      <w:r w:rsidRPr="00FB6675">
        <w:rPr>
          <w:rFonts w:ascii="Times New Roman" w:hAnsi="Times New Roman" w:cs="Times New Roman"/>
          <w:sz w:val="24"/>
          <w:szCs w:val="24"/>
        </w:rPr>
        <w:t xml:space="preserve"> ГТР.</w:t>
      </w:r>
      <w:r w:rsidRPr="00FB667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B6675">
        <w:rPr>
          <w:rFonts w:ascii="Times New Roman" w:hAnsi="Times New Roman" w:cs="Times New Roman"/>
          <w:sz w:val="24"/>
          <w:szCs w:val="24"/>
        </w:rPr>
        <w:t xml:space="preserve">  У этого ГТР имеется три ступени турбинного колеса</w:t>
      </w:r>
      <w:proofErr w:type="gramStart"/>
      <w:r w:rsidRPr="00FB6675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Т</m:t>
            </m:r>
            <w:proofErr w:type="gramEnd"/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FB6675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Т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FB6675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Т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</m:oMath>
      <w:r w:rsidRPr="00FB6675">
        <w:rPr>
          <w:rFonts w:ascii="Times New Roman" w:hAnsi="Times New Roman" w:cs="Times New Roman"/>
          <w:sz w:val="24"/>
          <w:szCs w:val="24"/>
        </w:rPr>
        <w:t xml:space="preserve">. Между каждой ступенью установлена ступень направляющего аппарата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Н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FB6675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Н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FB6675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Н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</m:oMath>
      <w:r w:rsidRPr="00FB6675">
        <w:rPr>
          <w:rFonts w:ascii="Times New Roman" w:hAnsi="Times New Roman" w:cs="Times New Roman"/>
          <w:sz w:val="24"/>
          <w:szCs w:val="24"/>
        </w:rPr>
        <w:t xml:space="preserve">. У многоступенчатого ГТР преобразующие свойства ГТР высокие и коэффициент трансформации «К» выше, чем у одноступенчатого (рис. 1 - 4) и находится в пределах от 4,7 до 7,5.   Многоступенчатые ГТР  имеют более низкий КПД, чем одноступенчатые, их применяют в основном на судах для увеличения крутящего момента в приводе к гребному винту.                                                         </w:t>
      </w:r>
      <w:r w:rsidRPr="00FB6675">
        <w:rPr>
          <w:rFonts w:ascii="Times New Roman" w:hAnsi="Times New Roman" w:cs="Times New Roman"/>
          <w:sz w:val="24"/>
          <w:szCs w:val="24"/>
        </w:rPr>
        <w:lastRenderedPageBreak/>
        <w:t xml:space="preserve">На тракторах целесообразно применять </w:t>
      </w:r>
      <w:proofErr w:type="gramStart"/>
      <w:r w:rsidRPr="00FB6675">
        <w:rPr>
          <w:rFonts w:ascii="Times New Roman" w:hAnsi="Times New Roman" w:cs="Times New Roman"/>
          <w:sz w:val="24"/>
          <w:szCs w:val="24"/>
        </w:rPr>
        <w:t>комплексные</w:t>
      </w:r>
      <w:proofErr w:type="gramEnd"/>
      <w:r w:rsidRPr="00FB6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75">
        <w:rPr>
          <w:rFonts w:ascii="Times New Roman" w:hAnsi="Times New Roman" w:cs="Times New Roman"/>
          <w:sz w:val="24"/>
          <w:szCs w:val="24"/>
        </w:rPr>
        <w:t>двухреакторные</w:t>
      </w:r>
      <w:proofErr w:type="spellEnd"/>
      <w:r w:rsidRPr="00FB6675">
        <w:rPr>
          <w:rFonts w:ascii="Times New Roman" w:hAnsi="Times New Roman" w:cs="Times New Roman"/>
          <w:sz w:val="24"/>
          <w:szCs w:val="24"/>
        </w:rPr>
        <w:t xml:space="preserve">, одноступенчатые, блокируемые ГТР.  Они имеют наиболее высокий КПД  и умеренные преобразующие свойства. Применение таких ГТР обеспечивает высокую производительность и экономичность трактора, снижение количества передач в механической части трансмиссии, что в итоге направлено на </w:t>
      </w:r>
      <w:proofErr w:type="spellStart"/>
      <w:r w:rsidRPr="00FB6675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FB6675">
        <w:rPr>
          <w:rFonts w:ascii="Times New Roman" w:hAnsi="Times New Roman" w:cs="Times New Roman"/>
          <w:sz w:val="24"/>
          <w:szCs w:val="24"/>
        </w:rPr>
        <w:t>-ресурсосбережение в АПК.</w:t>
      </w:r>
    </w:p>
    <w:p w:rsidR="00613FAD" w:rsidRDefault="00613FAD" w:rsidP="00CC33F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56AF" w:rsidRPr="00CC33FD" w:rsidRDefault="00CC33FD" w:rsidP="00CC33FD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2961005</wp:posOffset>
            </wp:positionH>
            <wp:positionV relativeFrom="paragraph">
              <wp:posOffset>-478790</wp:posOffset>
            </wp:positionV>
            <wp:extent cx="2783205" cy="3035935"/>
            <wp:effectExtent l="19050" t="0" r="0" b="0"/>
            <wp:wrapTight wrapText="bothSides">
              <wp:wrapPolygon edited="0">
                <wp:start x="-148" y="0"/>
                <wp:lineTo x="-148" y="21415"/>
                <wp:lineTo x="21585" y="21415"/>
                <wp:lineTo x="21585" y="0"/>
                <wp:lineTo x="-148" y="0"/>
              </wp:wrapPolygon>
            </wp:wrapTight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303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-240665</wp:posOffset>
            </wp:positionV>
            <wp:extent cx="2827655" cy="2794635"/>
            <wp:effectExtent l="19050" t="0" r="0" b="0"/>
            <wp:wrapTight wrapText="bothSides">
              <wp:wrapPolygon edited="0">
                <wp:start x="-146" y="0"/>
                <wp:lineTo x="-146" y="21497"/>
                <wp:lineTo x="21537" y="21497"/>
                <wp:lineTo x="21537" y="0"/>
                <wp:lineTo x="-146" y="0"/>
              </wp:wrapPolygon>
            </wp:wrapTight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279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4D6E" w:rsidRPr="00FB6675" w:rsidRDefault="007019FD" w:rsidP="0070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C1666F" w:rsidRDefault="00C1666F" w:rsidP="00C1666F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Ефимов М.А. «Основы теории и</w:t>
      </w:r>
      <w:r w:rsidR="00F74311">
        <w:rPr>
          <w:rFonts w:ascii="Times New Roman" w:hAnsi="Times New Roman" w:cs="Times New Roman"/>
          <w:sz w:val="24"/>
          <w:szCs w:val="24"/>
        </w:rPr>
        <w:t xml:space="preserve"> </w:t>
      </w:r>
      <w:r w:rsidR="005F0A85" w:rsidRPr="00FB6675">
        <w:rPr>
          <w:rFonts w:ascii="Times New Roman" w:hAnsi="Times New Roman" w:cs="Times New Roman"/>
          <w:sz w:val="24"/>
          <w:szCs w:val="24"/>
        </w:rPr>
        <w:t>расчета бесступенчатых передач трактор</w:t>
      </w:r>
      <w:r w:rsidR="00147417" w:rsidRPr="00FB6675">
        <w:rPr>
          <w:rFonts w:ascii="Times New Roman" w:hAnsi="Times New Roman" w:cs="Times New Roman"/>
          <w:sz w:val="24"/>
          <w:szCs w:val="24"/>
        </w:rPr>
        <w:t>ов. Учебное пособие, Орел , 2001</w:t>
      </w:r>
      <w:r w:rsidR="005F0A85" w:rsidRPr="00FB6675">
        <w:rPr>
          <w:rFonts w:ascii="Times New Roman" w:hAnsi="Times New Roman" w:cs="Times New Roman"/>
          <w:sz w:val="24"/>
          <w:szCs w:val="24"/>
        </w:rPr>
        <w:t>г.</w:t>
      </w:r>
    </w:p>
    <w:p w:rsidR="00C1666F" w:rsidRDefault="00C1666F" w:rsidP="00C1666F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66F" w:rsidRDefault="00C1666F" w:rsidP="007019FD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C1666F">
        <w:rPr>
          <w:rFonts w:ascii="Times New Roman" w:hAnsi="Times New Roman" w:cs="Times New Roman"/>
          <w:b/>
          <w:sz w:val="24"/>
          <w:szCs w:val="24"/>
        </w:rPr>
        <w:t>Ефимов Михаил Александрович</w:t>
      </w:r>
      <w:r w:rsidRPr="00C1666F">
        <w:rPr>
          <w:rFonts w:ascii="Times New Roman" w:hAnsi="Times New Roman" w:cs="Times New Roman"/>
          <w:sz w:val="24"/>
          <w:szCs w:val="24"/>
        </w:rPr>
        <w:t>, к.т.н., профессор кафедр</w:t>
      </w:r>
      <w:r w:rsidR="00491328">
        <w:rPr>
          <w:rFonts w:ascii="Times New Roman" w:hAnsi="Times New Roman" w:cs="Times New Roman"/>
          <w:sz w:val="24"/>
          <w:szCs w:val="24"/>
        </w:rPr>
        <w:t>ы</w:t>
      </w:r>
      <w:r w:rsidRPr="00C1666F">
        <w:rPr>
          <w:rFonts w:ascii="Times New Roman" w:hAnsi="Times New Roman" w:cs="Times New Roman"/>
          <w:sz w:val="24"/>
          <w:szCs w:val="24"/>
        </w:rPr>
        <w:t xml:space="preserve"> "ЭМТП и тракторы" ОрёлГАУ, 302019, г. Орёл, ул. Г</w:t>
      </w:r>
      <w:r w:rsidR="00F74311">
        <w:rPr>
          <w:rFonts w:ascii="Times New Roman" w:hAnsi="Times New Roman" w:cs="Times New Roman"/>
          <w:sz w:val="24"/>
          <w:szCs w:val="24"/>
        </w:rPr>
        <w:t>ене</w:t>
      </w:r>
      <w:r>
        <w:rPr>
          <w:rFonts w:ascii="Times New Roman" w:hAnsi="Times New Roman" w:cs="Times New Roman"/>
          <w:sz w:val="24"/>
          <w:szCs w:val="24"/>
        </w:rPr>
        <w:t>рала Родина, 69, т. 76-17-54.</w:t>
      </w:r>
      <w:proofErr w:type="gramEnd"/>
    </w:p>
    <w:p w:rsidR="00C1666F" w:rsidRPr="0032174B" w:rsidRDefault="00C1666F" w:rsidP="007019FD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1666F">
        <w:rPr>
          <w:rFonts w:ascii="Times New Roman" w:hAnsi="Times New Roman" w:cs="Times New Roman"/>
          <w:b/>
          <w:sz w:val="24"/>
          <w:szCs w:val="24"/>
        </w:rPr>
        <w:t>Заикин</w:t>
      </w:r>
      <w:proofErr w:type="spellEnd"/>
      <w:r w:rsidRPr="00C1666F">
        <w:rPr>
          <w:rFonts w:ascii="Times New Roman" w:hAnsi="Times New Roman" w:cs="Times New Roman"/>
          <w:b/>
          <w:sz w:val="24"/>
          <w:szCs w:val="24"/>
        </w:rPr>
        <w:t xml:space="preserve"> Иван Юрьевич</w:t>
      </w:r>
      <w:r>
        <w:rPr>
          <w:rFonts w:ascii="Times New Roman" w:hAnsi="Times New Roman" w:cs="Times New Roman"/>
          <w:sz w:val="24"/>
          <w:szCs w:val="24"/>
        </w:rPr>
        <w:t>, студент Ор</w:t>
      </w:r>
      <w:r w:rsidR="00F74311">
        <w:rPr>
          <w:rFonts w:ascii="Times New Roman" w:hAnsi="Times New Roman" w:cs="Times New Roman"/>
          <w:sz w:val="24"/>
          <w:szCs w:val="24"/>
        </w:rPr>
        <w:t>ёлГАУ, 302019, г. Орёл, ул. Гене</w:t>
      </w:r>
      <w:r>
        <w:rPr>
          <w:rFonts w:ascii="Times New Roman" w:hAnsi="Times New Roman" w:cs="Times New Roman"/>
          <w:sz w:val="24"/>
          <w:szCs w:val="24"/>
        </w:rPr>
        <w:t xml:space="preserve">рала Родина, 69,  </w:t>
      </w:r>
      <w:proofErr w:type="spellStart"/>
      <w:r w:rsidR="0032174B">
        <w:rPr>
          <w:rFonts w:ascii="Times New Roman" w:hAnsi="Times New Roman" w:cs="Times New Roman"/>
          <w:sz w:val="24"/>
          <w:szCs w:val="24"/>
          <w:lang w:val="en-US"/>
        </w:rPr>
        <w:t>vanya</w:t>
      </w:r>
      <w:proofErr w:type="spellEnd"/>
      <w:r w:rsidR="0032174B" w:rsidRPr="0032174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2174B">
        <w:rPr>
          <w:rFonts w:ascii="Times New Roman" w:hAnsi="Times New Roman" w:cs="Times New Roman"/>
          <w:sz w:val="24"/>
          <w:szCs w:val="24"/>
          <w:lang w:val="en-US"/>
        </w:rPr>
        <w:t>xuliga</w:t>
      </w:r>
      <w:proofErr w:type="spellEnd"/>
      <w:r w:rsidR="0032174B" w:rsidRPr="0032174B">
        <w:rPr>
          <w:rFonts w:ascii="Times New Roman" w:hAnsi="Times New Roman" w:cs="Times New Roman"/>
          <w:sz w:val="24"/>
          <w:szCs w:val="24"/>
        </w:rPr>
        <w:t>@</w:t>
      </w:r>
      <w:r w:rsidR="0032174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2174B" w:rsidRPr="0032174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2174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729AE" w:rsidRPr="00FB6675" w:rsidRDefault="006729AE" w:rsidP="00FB6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9AE" w:rsidRPr="00FB6675" w:rsidRDefault="006729AE" w:rsidP="00FB6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9AE" w:rsidRPr="00FB6675" w:rsidRDefault="006729AE" w:rsidP="00FB6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9AE" w:rsidRPr="00FB6675" w:rsidRDefault="006729AE" w:rsidP="00FB6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9AE" w:rsidRPr="00FB6675" w:rsidRDefault="006729AE" w:rsidP="00FB6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9AE" w:rsidRPr="00FB6675" w:rsidRDefault="006729AE" w:rsidP="00FB6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29AE" w:rsidRPr="00FB6675" w:rsidSect="00194A5A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58D"/>
    <w:multiLevelType w:val="hybridMultilevel"/>
    <w:tmpl w:val="C3728F22"/>
    <w:lvl w:ilvl="0" w:tplc="B4E655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76424"/>
    <w:rsid w:val="000632E4"/>
    <w:rsid w:val="00093129"/>
    <w:rsid w:val="000B0301"/>
    <w:rsid w:val="001378A1"/>
    <w:rsid w:val="00147417"/>
    <w:rsid w:val="001556AF"/>
    <w:rsid w:val="00162357"/>
    <w:rsid w:val="0019052C"/>
    <w:rsid w:val="00194A5A"/>
    <w:rsid w:val="001D77D5"/>
    <w:rsid w:val="0021007E"/>
    <w:rsid w:val="00263D98"/>
    <w:rsid w:val="002D3E22"/>
    <w:rsid w:val="00302A3D"/>
    <w:rsid w:val="003075BD"/>
    <w:rsid w:val="0032174B"/>
    <w:rsid w:val="00333E64"/>
    <w:rsid w:val="003639B0"/>
    <w:rsid w:val="00421EA5"/>
    <w:rsid w:val="00426AA1"/>
    <w:rsid w:val="004570A4"/>
    <w:rsid w:val="00482C0A"/>
    <w:rsid w:val="00491328"/>
    <w:rsid w:val="004B040F"/>
    <w:rsid w:val="004B4548"/>
    <w:rsid w:val="004B7F47"/>
    <w:rsid w:val="004F68BF"/>
    <w:rsid w:val="004F6DC0"/>
    <w:rsid w:val="005423FA"/>
    <w:rsid w:val="00576424"/>
    <w:rsid w:val="005A4B56"/>
    <w:rsid w:val="005F0A85"/>
    <w:rsid w:val="00613FAD"/>
    <w:rsid w:val="006729AE"/>
    <w:rsid w:val="007019FD"/>
    <w:rsid w:val="0075536C"/>
    <w:rsid w:val="007F4A7E"/>
    <w:rsid w:val="00811D18"/>
    <w:rsid w:val="00866306"/>
    <w:rsid w:val="008677D9"/>
    <w:rsid w:val="008734C8"/>
    <w:rsid w:val="00901F64"/>
    <w:rsid w:val="00916B90"/>
    <w:rsid w:val="00926B6F"/>
    <w:rsid w:val="009428C5"/>
    <w:rsid w:val="00963F55"/>
    <w:rsid w:val="00965860"/>
    <w:rsid w:val="00973E3C"/>
    <w:rsid w:val="009C6949"/>
    <w:rsid w:val="009D6A17"/>
    <w:rsid w:val="009F5417"/>
    <w:rsid w:val="00A10F77"/>
    <w:rsid w:val="00A32760"/>
    <w:rsid w:val="00A3401F"/>
    <w:rsid w:val="00A66879"/>
    <w:rsid w:val="00AA13EA"/>
    <w:rsid w:val="00AA1994"/>
    <w:rsid w:val="00AE7B55"/>
    <w:rsid w:val="00BC1052"/>
    <w:rsid w:val="00BE7171"/>
    <w:rsid w:val="00C14722"/>
    <w:rsid w:val="00C1666F"/>
    <w:rsid w:val="00C57882"/>
    <w:rsid w:val="00C94440"/>
    <w:rsid w:val="00CA66EF"/>
    <w:rsid w:val="00CC33FD"/>
    <w:rsid w:val="00CE0EF3"/>
    <w:rsid w:val="00D029D9"/>
    <w:rsid w:val="00D4030E"/>
    <w:rsid w:val="00D473D4"/>
    <w:rsid w:val="00D84D6E"/>
    <w:rsid w:val="00DA4A30"/>
    <w:rsid w:val="00DA6BB0"/>
    <w:rsid w:val="00DC3994"/>
    <w:rsid w:val="00DD3A14"/>
    <w:rsid w:val="00DD4205"/>
    <w:rsid w:val="00E34E02"/>
    <w:rsid w:val="00E733E6"/>
    <w:rsid w:val="00E961B7"/>
    <w:rsid w:val="00F73773"/>
    <w:rsid w:val="00F74311"/>
    <w:rsid w:val="00F81BA2"/>
    <w:rsid w:val="00F87F18"/>
    <w:rsid w:val="00FB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77D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D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7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0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15</cp:revision>
  <cp:lastPrinted>2013-03-27T21:33:00Z</cp:lastPrinted>
  <dcterms:created xsi:type="dcterms:W3CDTF">2013-05-20T23:33:00Z</dcterms:created>
  <dcterms:modified xsi:type="dcterms:W3CDTF">2013-05-28T07:57:00Z</dcterms:modified>
</cp:coreProperties>
</file>