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C2" w:rsidRPr="00F15CE9" w:rsidRDefault="00C911C2" w:rsidP="00F15CE9">
      <w:pPr>
        <w:rPr>
          <w:caps/>
        </w:rPr>
      </w:pPr>
      <w:r w:rsidRPr="00F15CE9">
        <w:rPr>
          <w:caps/>
        </w:rPr>
        <w:t>УДК 537.8:631.17</w:t>
      </w:r>
    </w:p>
    <w:p w:rsidR="00F15CE9" w:rsidRDefault="00C911C2" w:rsidP="00F15CE9">
      <w:pPr>
        <w:jc w:val="center"/>
        <w:rPr>
          <w:b/>
          <w:caps/>
        </w:rPr>
      </w:pPr>
      <w:r w:rsidRPr="00F15CE9">
        <w:rPr>
          <w:b/>
          <w:caps/>
        </w:rPr>
        <w:t>Оценка и прогнозирование остаточного ресурса электропроводки объектов АПК</w:t>
      </w:r>
    </w:p>
    <w:p w:rsidR="00F15CE9" w:rsidRDefault="00F15CE9" w:rsidP="00F15CE9">
      <w:pPr>
        <w:jc w:val="center"/>
        <w:rPr>
          <w:b/>
          <w:caps/>
        </w:rPr>
      </w:pPr>
    </w:p>
    <w:p w:rsidR="00C911C2" w:rsidRDefault="00C911C2" w:rsidP="00F15CE9">
      <w:pPr>
        <w:jc w:val="right"/>
        <w:rPr>
          <w:b/>
        </w:rPr>
      </w:pPr>
      <w:r w:rsidRPr="00F15CE9">
        <w:rPr>
          <w:b/>
        </w:rPr>
        <w:t>Г</w:t>
      </w:r>
      <w:r w:rsidR="00F15CE9">
        <w:rPr>
          <w:b/>
        </w:rPr>
        <w:t xml:space="preserve">ончаренко </w:t>
      </w:r>
      <w:r w:rsidR="00F15CE9" w:rsidRPr="00F15CE9">
        <w:rPr>
          <w:b/>
        </w:rPr>
        <w:t>Г.А.</w:t>
      </w:r>
    </w:p>
    <w:p w:rsidR="00F15CE9" w:rsidRDefault="00F15CE9" w:rsidP="00F15CE9">
      <w:pPr>
        <w:jc w:val="right"/>
        <w:rPr>
          <w:i/>
        </w:rPr>
      </w:pPr>
      <w:r w:rsidRPr="00F15CE9">
        <w:rPr>
          <w:i/>
        </w:rPr>
        <w:t xml:space="preserve">Россия,  г. Барнаул, </w:t>
      </w:r>
      <w:proofErr w:type="spellStart"/>
      <w:r w:rsidRPr="00F15CE9">
        <w:rPr>
          <w:i/>
        </w:rPr>
        <w:t>АлтГТУ</w:t>
      </w:r>
      <w:proofErr w:type="spellEnd"/>
    </w:p>
    <w:p w:rsidR="00F442C9" w:rsidRPr="00F442C9" w:rsidRDefault="00F442C9" w:rsidP="00F15CE9">
      <w:pPr>
        <w:jc w:val="right"/>
        <w:rPr>
          <w:b/>
          <w:i/>
        </w:rPr>
      </w:pPr>
      <w:r w:rsidRPr="00F442C9">
        <w:rPr>
          <w:b/>
          <w:i/>
        </w:rPr>
        <w:t>Карнаухова Л.Н.</w:t>
      </w:r>
    </w:p>
    <w:p w:rsidR="00F15CE9" w:rsidRDefault="00F442C9" w:rsidP="00F442C9">
      <w:pPr>
        <w:jc w:val="right"/>
        <w:rPr>
          <w:i/>
        </w:rPr>
      </w:pPr>
      <w:r w:rsidRPr="00F15CE9">
        <w:rPr>
          <w:i/>
        </w:rPr>
        <w:t>Россия,  г.</w:t>
      </w:r>
      <w:r>
        <w:rPr>
          <w:i/>
        </w:rPr>
        <w:t xml:space="preserve"> Орел, ГУ «</w:t>
      </w:r>
      <w:proofErr w:type="spellStart"/>
      <w:r>
        <w:rPr>
          <w:i/>
        </w:rPr>
        <w:t>ОрелРЦЭ</w:t>
      </w:r>
      <w:proofErr w:type="spellEnd"/>
      <w:r w:rsidR="00F1507F">
        <w:rPr>
          <w:i/>
        </w:rPr>
        <w:t>»</w:t>
      </w:r>
    </w:p>
    <w:p w:rsidR="00F442C9" w:rsidRPr="00F15CE9" w:rsidRDefault="00F442C9" w:rsidP="00F442C9">
      <w:pPr>
        <w:jc w:val="right"/>
        <w:rPr>
          <w:i/>
        </w:rPr>
      </w:pPr>
    </w:p>
    <w:p w:rsidR="00C911C2" w:rsidRPr="00F1507F" w:rsidRDefault="00C911C2" w:rsidP="00F15CE9">
      <w:pPr>
        <w:jc w:val="both"/>
        <w:rPr>
          <w:lang w:val="en-US"/>
        </w:rPr>
      </w:pPr>
      <w:r w:rsidRPr="00F15CE9">
        <w:t xml:space="preserve">Проведен анализ техногенных опасностей электроустановок зданий. Показано, что наиболее «слабым звеном» являются электропроводки, в которых происходит подавляющее число </w:t>
      </w:r>
      <w:proofErr w:type="spellStart"/>
      <w:r w:rsidRPr="00F15CE9">
        <w:t>электропоражений</w:t>
      </w:r>
      <w:proofErr w:type="spellEnd"/>
      <w:r w:rsidRPr="00F15CE9">
        <w:t xml:space="preserve"> и пожаров. Обоснована кинетическая модель старения и разрушения изоляционных и токопроводящих частей электропроводки. Построена</w:t>
      </w:r>
      <w:r w:rsidRPr="00F1507F">
        <w:rPr>
          <w:lang w:val="en-US"/>
        </w:rPr>
        <w:t xml:space="preserve"> </w:t>
      </w:r>
      <w:r w:rsidRPr="00F15CE9">
        <w:t>блок</w:t>
      </w:r>
      <w:r w:rsidRPr="00F1507F">
        <w:rPr>
          <w:lang w:val="en-US"/>
        </w:rPr>
        <w:t>-</w:t>
      </w:r>
      <w:r w:rsidRPr="00F15CE9">
        <w:t>схема</w:t>
      </w:r>
      <w:r w:rsidRPr="00F1507F">
        <w:rPr>
          <w:lang w:val="en-US"/>
        </w:rPr>
        <w:t xml:space="preserve"> </w:t>
      </w:r>
      <w:r w:rsidRPr="00F15CE9">
        <w:t>оценки</w:t>
      </w:r>
      <w:r w:rsidRPr="00F1507F">
        <w:rPr>
          <w:lang w:val="en-US"/>
        </w:rPr>
        <w:t xml:space="preserve"> </w:t>
      </w:r>
      <w:r w:rsidRPr="00F15CE9">
        <w:t>и</w:t>
      </w:r>
      <w:r w:rsidRPr="00F1507F">
        <w:rPr>
          <w:lang w:val="en-US"/>
        </w:rPr>
        <w:t xml:space="preserve"> </w:t>
      </w:r>
      <w:r w:rsidRPr="00F15CE9">
        <w:t>прогнозирования</w:t>
      </w:r>
      <w:r w:rsidRPr="00F1507F">
        <w:rPr>
          <w:lang w:val="en-US"/>
        </w:rPr>
        <w:t xml:space="preserve"> </w:t>
      </w:r>
      <w:r w:rsidRPr="00F15CE9">
        <w:t>остаточного</w:t>
      </w:r>
      <w:r w:rsidRPr="00F1507F">
        <w:rPr>
          <w:lang w:val="en-US"/>
        </w:rPr>
        <w:t xml:space="preserve"> </w:t>
      </w:r>
      <w:r w:rsidRPr="00F15CE9">
        <w:t>ресурса</w:t>
      </w:r>
      <w:r w:rsidRPr="00F1507F">
        <w:rPr>
          <w:lang w:val="en-US"/>
        </w:rPr>
        <w:t>.</w:t>
      </w:r>
    </w:p>
    <w:p w:rsidR="00C911C2" w:rsidRPr="00F1507F" w:rsidRDefault="00C911C2" w:rsidP="00F15CE9">
      <w:pPr>
        <w:jc w:val="both"/>
        <w:rPr>
          <w:sz w:val="28"/>
          <w:szCs w:val="28"/>
          <w:lang w:val="en-US"/>
        </w:rPr>
      </w:pPr>
    </w:p>
    <w:p w:rsidR="00C911C2" w:rsidRPr="00F15CE9" w:rsidRDefault="00C911C2" w:rsidP="00F15CE9">
      <w:pPr>
        <w:jc w:val="both"/>
        <w:rPr>
          <w:lang w:val="en-US"/>
        </w:rPr>
      </w:pPr>
      <w:proofErr w:type="gramStart"/>
      <w:r w:rsidRPr="00F15CE9">
        <w:rPr>
          <w:lang w:val="en-US"/>
        </w:rPr>
        <w:t xml:space="preserve">Analysis of </w:t>
      </w:r>
      <w:proofErr w:type="spellStart"/>
      <w:r w:rsidRPr="00F15CE9">
        <w:rPr>
          <w:lang w:val="en-US"/>
        </w:rPr>
        <w:t>technogenic</w:t>
      </w:r>
      <w:proofErr w:type="spellEnd"/>
      <w:r w:rsidRPr="00F15CE9">
        <w:rPr>
          <w:lang w:val="en-US"/>
        </w:rPr>
        <w:t xml:space="preserve"> dangers of electrical installations of buildings.</w:t>
      </w:r>
      <w:proofErr w:type="gramEnd"/>
      <w:r w:rsidRPr="00F15CE9">
        <w:rPr>
          <w:lang w:val="en-US"/>
        </w:rPr>
        <w:t xml:space="preserve"> </w:t>
      </w:r>
      <w:proofErr w:type="gramStart"/>
      <w:r w:rsidRPr="00F15CE9">
        <w:rPr>
          <w:lang w:val="en-US"/>
        </w:rPr>
        <w:t xml:space="preserve">Shows that the weak link is the wiring in which a vast number of </w:t>
      </w:r>
      <w:proofErr w:type="spellStart"/>
      <w:r w:rsidRPr="00F15CE9">
        <w:rPr>
          <w:lang w:val="en-US"/>
        </w:rPr>
        <w:t>èlektroporaženij</w:t>
      </w:r>
      <w:proofErr w:type="spellEnd"/>
      <w:r w:rsidRPr="00F15CE9">
        <w:rPr>
          <w:lang w:val="en-US"/>
        </w:rPr>
        <w:t xml:space="preserve"> and fires.</w:t>
      </w:r>
      <w:proofErr w:type="gramEnd"/>
      <w:r w:rsidRPr="00F15CE9">
        <w:rPr>
          <w:lang w:val="en-US"/>
        </w:rPr>
        <w:t xml:space="preserve"> Is kinetic model of aging and destruction of insulation and conductive parts of the electrical </w:t>
      </w:r>
      <w:proofErr w:type="gramStart"/>
      <w:r w:rsidRPr="00F15CE9">
        <w:rPr>
          <w:lang w:val="en-US"/>
        </w:rPr>
        <w:t>installation.</w:t>
      </w:r>
      <w:proofErr w:type="gramEnd"/>
      <w:r w:rsidRPr="00F15CE9">
        <w:rPr>
          <w:lang w:val="en-US"/>
        </w:rPr>
        <w:t xml:space="preserve"> Is a block diagram of the estimation and forecasting residual </w:t>
      </w:r>
      <w:proofErr w:type="gramStart"/>
      <w:r w:rsidRPr="00F15CE9">
        <w:rPr>
          <w:lang w:val="en-US"/>
        </w:rPr>
        <w:t>resource.</w:t>
      </w:r>
      <w:proofErr w:type="gramEnd"/>
      <w:r w:rsidRPr="00F15CE9">
        <w:rPr>
          <w:lang w:val="en-US"/>
        </w:rPr>
        <w:t xml:space="preserve"> </w:t>
      </w:r>
    </w:p>
    <w:p w:rsidR="00C911C2" w:rsidRPr="00F15CE9" w:rsidRDefault="00C911C2" w:rsidP="00F15CE9">
      <w:pPr>
        <w:spacing w:line="360" w:lineRule="auto"/>
        <w:ind w:firstLine="720"/>
        <w:jc w:val="both"/>
        <w:rPr>
          <w:sz w:val="28"/>
          <w:szCs w:val="28"/>
          <w:lang w:val="en-US"/>
        </w:rPr>
      </w:pPr>
    </w:p>
    <w:p w:rsidR="00C911C2" w:rsidRPr="00F15CE9" w:rsidRDefault="00C911C2" w:rsidP="00283C66">
      <w:pPr>
        <w:ind w:firstLine="720"/>
        <w:jc w:val="both"/>
      </w:pPr>
      <w:r w:rsidRPr="00F15CE9">
        <w:t xml:space="preserve">Бесперебойное электроснабжение сельских </w:t>
      </w:r>
      <w:proofErr w:type="spellStart"/>
      <w:r w:rsidRPr="00F15CE9">
        <w:t>электропотребителей</w:t>
      </w:r>
      <w:proofErr w:type="spellEnd"/>
      <w:r w:rsidRPr="00F15CE9">
        <w:t xml:space="preserve"> невозможно без надежной работы  внутренних электрических сетей (электропроводки), проложенных в производственных зданиях и объектах инфраструктуры населенных пунктов. В процессе эксплуатации электропроводка подвергается различным тепловым, электрическим и механическим нагрузкам, негативным влияниям факторов внешней среды, что приводит к ускоренному старению, деградации и выходу из строя: возникают пробои изоляции и разрыв электрических цепей. Аварии в системе электроснабжения приводят не только к прекращению производственных процессов, но и к возникновению </w:t>
      </w:r>
      <w:proofErr w:type="spellStart"/>
      <w:r w:rsidRPr="00F15CE9">
        <w:t>электропоражений</w:t>
      </w:r>
      <w:proofErr w:type="spellEnd"/>
      <w:r w:rsidRPr="00F15CE9">
        <w:t xml:space="preserve"> людей и животных, пожарам.</w:t>
      </w:r>
    </w:p>
    <w:p w:rsidR="00C911C2" w:rsidRPr="00F15CE9" w:rsidRDefault="00C911C2" w:rsidP="00283C66">
      <w:pPr>
        <w:ind w:firstLine="720"/>
        <w:jc w:val="both"/>
      </w:pPr>
      <w:r w:rsidRPr="00F15CE9">
        <w:t xml:space="preserve">Значительная часть отказов электропроводки связана с локальным старением изоляции, снижением ее электрической прочности, вызванной абсорбцией и поляризацией, повреждением проводников и их контактных соединений. В условиях сельского хозяйства многие технологические процессы осуществляются либо на открытом воздухе, либо в неотапливаемых помещениях, либо в условиях высокой температуры и влажности, например, котельные. Все это приводит к преждевременному физическому износу электропроводки, в результате чего электропроводка становится не безопасной и потенциально аварийной. Положение усугубляется тем, что электропроводка зданий и сооружений, построенных более 40 – 50 лет выработала свой нормативный ресурс (таких зданий в аграрном секторе страны составляет порядка 80% от общего их числа). Об этом красноречиво свидетельствуют статистические данные по пожарам от электроустановок, на долю которых приходится более 30%. Убытки, связанные с производственным травматизмом (включая </w:t>
      </w:r>
      <w:proofErr w:type="spellStart"/>
      <w:r w:rsidRPr="00F15CE9">
        <w:t>электротравматизм</w:t>
      </w:r>
      <w:proofErr w:type="spellEnd"/>
      <w:r w:rsidRPr="00F15CE9">
        <w:t xml:space="preserve">) составляют в РФ свыше 160 млн. долл. США в год, в том числе расходы по возмещению пострадавшим или погибшим [1]. Анализ распределения техногенных опасностей по тяжести последствий и по видам приведены в таблицах 1 и 2 [1], из которых следует, что почти три четверти всех аварий приходится </w:t>
      </w:r>
      <w:proofErr w:type="gramStart"/>
      <w:r w:rsidRPr="00F15CE9">
        <w:t>на</w:t>
      </w:r>
      <w:proofErr w:type="gramEnd"/>
      <w:r w:rsidRPr="00F15CE9">
        <w:t xml:space="preserve"> объектовые и локальные. Причем доля пожаров составляет более 80% всех возникших техногенных аварий. Таким образом, обеспечение надежности и безопасности электроустановок при усилении интенсивности режимов работы, сложности условий эксплуатации и отсутствия квалифицированного обслуживающего персонала (например, в эксплуатации бытовых электроустановок принимает участие практически </w:t>
      </w:r>
      <w:r w:rsidRPr="00F15CE9">
        <w:lastRenderedPageBreak/>
        <w:t>все население страны) является в настоящее время первостепенным. Добавим к этому, что существующей практикой эксплуатации объектов сельской электроэнергетики игнорируется проведение профилактических мероприятий, направленных на предотвращение аварийных ситуаций на ранних стадиях развития повреждения, ограничиваясь при этом лишь фактом обнаружения того или иного дефекта. Причем выбор управленческого решения осуществляется в условиях неопределенности исходных данных, который обусловлен наличием многих случайных факторов, не поддающихся количественной оценке.</w:t>
      </w:r>
    </w:p>
    <w:p w:rsidR="00C911C2" w:rsidRPr="00F15CE9" w:rsidRDefault="00C911C2" w:rsidP="00283C66">
      <w:pPr>
        <w:jc w:val="both"/>
      </w:pPr>
    </w:p>
    <w:p w:rsidR="00C911C2" w:rsidRPr="00F15CE9" w:rsidRDefault="00C911C2" w:rsidP="00283C66">
      <w:pPr>
        <w:jc w:val="right"/>
      </w:pPr>
      <w:r w:rsidRPr="00F15CE9">
        <w:t>Таблица 1</w:t>
      </w:r>
    </w:p>
    <w:p w:rsidR="00C911C2" w:rsidRPr="00F15CE9" w:rsidRDefault="00C911C2" w:rsidP="00C911C2">
      <w:pPr>
        <w:spacing w:line="360" w:lineRule="auto"/>
        <w:jc w:val="center"/>
      </w:pPr>
      <w:r w:rsidRPr="00F15CE9">
        <w:t>Распределение техногенных опасностей по тяжести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065"/>
        <w:gridCol w:w="1065"/>
        <w:gridCol w:w="1066"/>
        <w:gridCol w:w="1066"/>
        <w:gridCol w:w="1084"/>
        <w:gridCol w:w="1125"/>
        <w:gridCol w:w="1076"/>
      </w:tblGrid>
      <w:tr w:rsidR="00C911C2" w:rsidRPr="00F15CE9" w:rsidTr="003E660E">
        <w:tc>
          <w:tcPr>
            <w:tcW w:w="1373" w:type="dxa"/>
            <w:vMerge w:val="restart"/>
            <w:vAlign w:val="center"/>
          </w:tcPr>
          <w:p w:rsidR="00C911C2" w:rsidRPr="003B6E67" w:rsidRDefault="00C911C2" w:rsidP="00283C66">
            <w:pPr>
              <w:jc w:val="center"/>
              <w:rPr>
                <w:sz w:val="20"/>
                <w:szCs w:val="20"/>
              </w:rPr>
            </w:pPr>
            <w:r w:rsidRPr="003B6E67">
              <w:rPr>
                <w:sz w:val="20"/>
                <w:szCs w:val="20"/>
              </w:rPr>
              <w:t>Класс опасностей</w:t>
            </w:r>
          </w:p>
        </w:tc>
        <w:tc>
          <w:tcPr>
            <w:tcW w:w="4682" w:type="dxa"/>
            <w:gridSpan w:val="4"/>
            <w:vAlign w:val="center"/>
          </w:tcPr>
          <w:p w:rsidR="00C911C2" w:rsidRPr="003B6E67" w:rsidRDefault="00C911C2" w:rsidP="00283C66">
            <w:pPr>
              <w:jc w:val="center"/>
              <w:rPr>
                <w:sz w:val="20"/>
                <w:szCs w:val="20"/>
              </w:rPr>
            </w:pPr>
            <w:r w:rsidRPr="003B6E67">
              <w:rPr>
                <w:sz w:val="20"/>
                <w:szCs w:val="20"/>
              </w:rPr>
              <w:t>Годы</w:t>
            </w:r>
          </w:p>
        </w:tc>
        <w:tc>
          <w:tcPr>
            <w:tcW w:w="1172" w:type="dxa"/>
            <w:vMerge w:val="restart"/>
            <w:vAlign w:val="center"/>
          </w:tcPr>
          <w:p w:rsidR="00C911C2" w:rsidRPr="003B6E67" w:rsidRDefault="00C911C2" w:rsidP="00283C66">
            <w:pPr>
              <w:jc w:val="center"/>
              <w:rPr>
                <w:sz w:val="20"/>
                <w:szCs w:val="20"/>
              </w:rPr>
            </w:pPr>
            <w:r w:rsidRPr="003B6E67">
              <w:rPr>
                <w:sz w:val="20"/>
                <w:szCs w:val="20"/>
              </w:rPr>
              <w:t>Всего</w:t>
            </w:r>
          </w:p>
        </w:tc>
        <w:tc>
          <w:tcPr>
            <w:tcW w:w="2344" w:type="dxa"/>
            <w:gridSpan w:val="2"/>
            <w:vAlign w:val="center"/>
          </w:tcPr>
          <w:p w:rsidR="00C911C2" w:rsidRPr="003B6E67" w:rsidRDefault="00C911C2" w:rsidP="00283C66">
            <w:pPr>
              <w:jc w:val="center"/>
              <w:rPr>
                <w:sz w:val="20"/>
                <w:szCs w:val="20"/>
              </w:rPr>
            </w:pPr>
            <w:r w:rsidRPr="003B6E67">
              <w:rPr>
                <w:sz w:val="20"/>
                <w:szCs w:val="20"/>
              </w:rPr>
              <w:t>Статистические характеристики</w:t>
            </w:r>
          </w:p>
        </w:tc>
      </w:tr>
      <w:tr w:rsidR="00C911C2" w:rsidRPr="00F15CE9" w:rsidTr="003E660E">
        <w:tc>
          <w:tcPr>
            <w:tcW w:w="1373" w:type="dxa"/>
            <w:vMerge/>
            <w:vAlign w:val="center"/>
          </w:tcPr>
          <w:p w:rsidR="00C911C2" w:rsidRPr="003B6E67" w:rsidRDefault="00C911C2" w:rsidP="00283C66">
            <w:pPr>
              <w:jc w:val="center"/>
              <w:rPr>
                <w:sz w:val="20"/>
                <w:szCs w:val="20"/>
              </w:rPr>
            </w:pPr>
          </w:p>
        </w:tc>
        <w:tc>
          <w:tcPr>
            <w:tcW w:w="1170" w:type="dxa"/>
            <w:vAlign w:val="center"/>
          </w:tcPr>
          <w:p w:rsidR="00C911C2" w:rsidRPr="003B6E67" w:rsidRDefault="00C911C2" w:rsidP="00283C66">
            <w:pPr>
              <w:jc w:val="center"/>
              <w:rPr>
                <w:sz w:val="20"/>
                <w:szCs w:val="20"/>
              </w:rPr>
            </w:pPr>
            <w:r w:rsidRPr="003B6E67">
              <w:rPr>
                <w:sz w:val="20"/>
                <w:szCs w:val="20"/>
              </w:rPr>
              <w:t>1997</w:t>
            </w:r>
          </w:p>
        </w:tc>
        <w:tc>
          <w:tcPr>
            <w:tcW w:w="1170" w:type="dxa"/>
            <w:vAlign w:val="center"/>
          </w:tcPr>
          <w:p w:rsidR="00C911C2" w:rsidRPr="003B6E67" w:rsidRDefault="00C911C2" w:rsidP="00283C66">
            <w:pPr>
              <w:jc w:val="center"/>
              <w:rPr>
                <w:sz w:val="20"/>
                <w:szCs w:val="20"/>
              </w:rPr>
            </w:pPr>
            <w:r w:rsidRPr="003B6E67">
              <w:rPr>
                <w:sz w:val="20"/>
                <w:szCs w:val="20"/>
              </w:rPr>
              <w:t>1998</w:t>
            </w:r>
          </w:p>
        </w:tc>
        <w:tc>
          <w:tcPr>
            <w:tcW w:w="1171" w:type="dxa"/>
            <w:vAlign w:val="center"/>
          </w:tcPr>
          <w:p w:rsidR="00C911C2" w:rsidRPr="003B6E67" w:rsidRDefault="00C911C2" w:rsidP="00283C66">
            <w:pPr>
              <w:jc w:val="center"/>
              <w:rPr>
                <w:sz w:val="20"/>
                <w:szCs w:val="20"/>
              </w:rPr>
            </w:pPr>
            <w:r w:rsidRPr="003B6E67">
              <w:rPr>
                <w:sz w:val="20"/>
                <w:szCs w:val="20"/>
              </w:rPr>
              <w:t>1999</w:t>
            </w:r>
          </w:p>
        </w:tc>
        <w:tc>
          <w:tcPr>
            <w:tcW w:w="1171" w:type="dxa"/>
            <w:vAlign w:val="center"/>
          </w:tcPr>
          <w:p w:rsidR="00C911C2" w:rsidRPr="003B6E67" w:rsidRDefault="00C911C2" w:rsidP="00283C66">
            <w:pPr>
              <w:jc w:val="center"/>
              <w:rPr>
                <w:sz w:val="20"/>
                <w:szCs w:val="20"/>
              </w:rPr>
            </w:pPr>
            <w:r w:rsidRPr="003B6E67">
              <w:rPr>
                <w:sz w:val="20"/>
                <w:szCs w:val="20"/>
              </w:rPr>
              <w:t>2000</w:t>
            </w:r>
          </w:p>
        </w:tc>
        <w:tc>
          <w:tcPr>
            <w:tcW w:w="1172" w:type="dxa"/>
            <w:vMerge/>
            <w:vAlign w:val="center"/>
          </w:tcPr>
          <w:p w:rsidR="00C911C2" w:rsidRPr="003B6E67" w:rsidRDefault="00C911C2" w:rsidP="00283C66">
            <w:pPr>
              <w:jc w:val="center"/>
              <w:rPr>
                <w:sz w:val="20"/>
                <w:szCs w:val="20"/>
              </w:rPr>
            </w:pPr>
          </w:p>
        </w:tc>
        <w:tc>
          <w:tcPr>
            <w:tcW w:w="1172" w:type="dxa"/>
            <w:vAlign w:val="center"/>
          </w:tcPr>
          <w:p w:rsidR="00C911C2" w:rsidRPr="003B6E67" w:rsidRDefault="00C911C2" w:rsidP="00283C66">
            <w:pPr>
              <w:jc w:val="center"/>
              <w:rPr>
                <w:sz w:val="20"/>
                <w:szCs w:val="20"/>
              </w:rPr>
            </w:pPr>
            <w:r w:rsidRPr="003B6E67">
              <w:rPr>
                <w:sz w:val="20"/>
                <w:szCs w:val="20"/>
              </w:rPr>
              <w:t>Среднее</w:t>
            </w:r>
          </w:p>
        </w:tc>
        <w:tc>
          <w:tcPr>
            <w:tcW w:w="1172" w:type="dxa"/>
            <w:vAlign w:val="center"/>
          </w:tcPr>
          <w:p w:rsidR="00C911C2" w:rsidRPr="003B6E67" w:rsidRDefault="00C911C2" w:rsidP="00283C66">
            <w:pPr>
              <w:jc w:val="center"/>
              <w:rPr>
                <w:sz w:val="20"/>
                <w:szCs w:val="20"/>
              </w:rPr>
            </w:pPr>
            <w:r w:rsidRPr="003B6E67">
              <w:rPr>
                <w:sz w:val="20"/>
                <w:szCs w:val="20"/>
              </w:rPr>
              <w:t>Доля</w:t>
            </w:r>
          </w:p>
        </w:tc>
      </w:tr>
      <w:tr w:rsidR="00C911C2" w:rsidRPr="00F15CE9" w:rsidTr="003E660E">
        <w:tc>
          <w:tcPr>
            <w:tcW w:w="1373" w:type="dxa"/>
            <w:vAlign w:val="center"/>
          </w:tcPr>
          <w:p w:rsidR="00C911C2" w:rsidRPr="003B6E67" w:rsidRDefault="00C911C2" w:rsidP="00283C66">
            <w:pPr>
              <w:jc w:val="center"/>
              <w:rPr>
                <w:sz w:val="20"/>
                <w:szCs w:val="20"/>
              </w:rPr>
            </w:pPr>
            <w:r w:rsidRPr="003B6E67">
              <w:rPr>
                <w:sz w:val="20"/>
                <w:szCs w:val="20"/>
              </w:rPr>
              <w:t>Локальные (объективные)</w:t>
            </w:r>
          </w:p>
        </w:tc>
        <w:tc>
          <w:tcPr>
            <w:tcW w:w="1170" w:type="dxa"/>
            <w:vAlign w:val="center"/>
          </w:tcPr>
          <w:p w:rsidR="00C911C2" w:rsidRPr="003B6E67" w:rsidRDefault="00C911C2" w:rsidP="00283C66">
            <w:pPr>
              <w:jc w:val="center"/>
              <w:rPr>
                <w:sz w:val="20"/>
                <w:szCs w:val="20"/>
              </w:rPr>
            </w:pPr>
            <w:r w:rsidRPr="003B6E67">
              <w:rPr>
                <w:sz w:val="20"/>
                <w:szCs w:val="20"/>
              </w:rPr>
              <w:t>871</w:t>
            </w:r>
          </w:p>
        </w:tc>
        <w:tc>
          <w:tcPr>
            <w:tcW w:w="1170" w:type="dxa"/>
            <w:vAlign w:val="center"/>
          </w:tcPr>
          <w:p w:rsidR="00C911C2" w:rsidRPr="003B6E67" w:rsidRDefault="00C911C2" w:rsidP="00283C66">
            <w:pPr>
              <w:jc w:val="center"/>
              <w:rPr>
                <w:sz w:val="20"/>
                <w:szCs w:val="20"/>
              </w:rPr>
            </w:pPr>
            <w:r w:rsidRPr="003B6E67">
              <w:rPr>
                <w:sz w:val="20"/>
                <w:szCs w:val="20"/>
              </w:rPr>
              <w:t>674</w:t>
            </w:r>
          </w:p>
        </w:tc>
        <w:tc>
          <w:tcPr>
            <w:tcW w:w="1171" w:type="dxa"/>
            <w:vAlign w:val="center"/>
          </w:tcPr>
          <w:p w:rsidR="00C911C2" w:rsidRPr="003B6E67" w:rsidRDefault="00C911C2" w:rsidP="00283C66">
            <w:pPr>
              <w:jc w:val="center"/>
              <w:rPr>
                <w:sz w:val="20"/>
                <w:szCs w:val="20"/>
              </w:rPr>
            </w:pPr>
            <w:r w:rsidRPr="003B6E67">
              <w:rPr>
                <w:sz w:val="20"/>
                <w:szCs w:val="20"/>
              </w:rPr>
              <w:t>614</w:t>
            </w:r>
          </w:p>
        </w:tc>
        <w:tc>
          <w:tcPr>
            <w:tcW w:w="1171" w:type="dxa"/>
            <w:vAlign w:val="center"/>
          </w:tcPr>
          <w:p w:rsidR="00C911C2" w:rsidRPr="003B6E67" w:rsidRDefault="00C911C2" w:rsidP="00283C66">
            <w:pPr>
              <w:jc w:val="center"/>
              <w:rPr>
                <w:sz w:val="20"/>
                <w:szCs w:val="20"/>
              </w:rPr>
            </w:pPr>
            <w:r w:rsidRPr="003B6E67">
              <w:rPr>
                <w:sz w:val="20"/>
                <w:szCs w:val="20"/>
              </w:rPr>
              <w:t>434</w:t>
            </w:r>
          </w:p>
        </w:tc>
        <w:tc>
          <w:tcPr>
            <w:tcW w:w="1172" w:type="dxa"/>
            <w:vAlign w:val="center"/>
          </w:tcPr>
          <w:p w:rsidR="00C911C2" w:rsidRPr="003B6E67" w:rsidRDefault="00C911C2" w:rsidP="00283C66">
            <w:pPr>
              <w:jc w:val="center"/>
              <w:rPr>
                <w:sz w:val="20"/>
                <w:szCs w:val="20"/>
              </w:rPr>
            </w:pPr>
            <w:r w:rsidRPr="003B6E67">
              <w:rPr>
                <w:sz w:val="20"/>
                <w:szCs w:val="20"/>
              </w:rPr>
              <w:t>2593</w:t>
            </w:r>
          </w:p>
        </w:tc>
        <w:tc>
          <w:tcPr>
            <w:tcW w:w="1172" w:type="dxa"/>
            <w:vAlign w:val="center"/>
          </w:tcPr>
          <w:p w:rsidR="00C911C2" w:rsidRPr="003B6E67" w:rsidRDefault="00C911C2" w:rsidP="00283C66">
            <w:pPr>
              <w:jc w:val="center"/>
              <w:rPr>
                <w:sz w:val="20"/>
                <w:szCs w:val="20"/>
              </w:rPr>
            </w:pPr>
            <w:r w:rsidRPr="003B6E67">
              <w:rPr>
                <w:sz w:val="20"/>
                <w:szCs w:val="20"/>
              </w:rPr>
              <w:t>648</w:t>
            </w:r>
          </w:p>
        </w:tc>
        <w:tc>
          <w:tcPr>
            <w:tcW w:w="1172" w:type="dxa"/>
            <w:vAlign w:val="center"/>
          </w:tcPr>
          <w:p w:rsidR="00C911C2" w:rsidRPr="003B6E67" w:rsidRDefault="00C911C2" w:rsidP="00283C66">
            <w:pPr>
              <w:jc w:val="center"/>
              <w:rPr>
                <w:sz w:val="20"/>
                <w:szCs w:val="20"/>
              </w:rPr>
            </w:pPr>
            <w:r w:rsidRPr="003B6E67">
              <w:rPr>
                <w:sz w:val="20"/>
                <w:szCs w:val="20"/>
              </w:rPr>
              <w:t>0,72</w:t>
            </w:r>
          </w:p>
        </w:tc>
      </w:tr>
      <w:tr w:rsidR="00C911C2" w:rsidRPr="00F15CE9" w:rsidTr="003E660E">
        <w:tc>
          <w:tcPr>
            <w:tcW w:w="1373" w:type="dxa"/>
            <w:vAlign w:val="center"/>
          </w:tcPr>
          <w:p w:rsidR="00C911C2" w:rsidRPr="003B6E67" w:rsidRDefault="00C911C2" w:rsidP="00283C66">
            <w:pPr>
              <w:jc w:val="center"/>
              <w:rPr>
                <w:sz w:val="20"/>
                <w:szCs w:val="20"/>
              </w:rPr>
            </w:pPr>
            <w:r w:rsidRPr="003B6E67">
              <w:rPr>
                <w:sz w:val="20"/>
                <w:szCs w:val="20"/>
              </w:rPr>
              <w:t>Местные</w:t>
            </w:r>
          </w:p>
        </w:tc>
        <w:tc>
          <w:tcPr>
            <w:tcW w:w="1170" w:type="dxa"/>
            <w:vAlign w:val="center"/>
          </w:tcPr>
          <w:p w:rsidR="00C911C2" w:rsidRPr="003B6E67" w:rsidRDefault="00C911C2" w:rsidP="00283C66">
            <w:pPr>
              <w:jc w:val="center"/>
              <w:rPr>
                <w:sz w:val="20"/>
                <w:szCs w:val="20"/>
              </w:rPr>
            </w:pPr>
            <w:r w:rsidRPr="003B6E67">
              <w:rPr>
                <w:sz w:val="20"/>
                <w:szCs w:val="20"/>
              </w:rPr>
              <w:t>249</w:t>
            </w:r>
          </w:p>
        </w:tc>
        <w:tc>
          <w:tcPr>
            <w:tcW w:w="1170" w:type="dxa"/>
            <w:vAlign w:val="center"/>
          </w:tcPr>
          <w:p w:rsidR="00C911C2" w:rsidRPr="003B6E67" w:rsidRDefault="00C911C2" w:rsidP="00283C66">
            <w:pPr>
              <w:jc w:val="center"/>
              <w:rPr>
                <w:sz w:val="20"/>
                <w:szCs w:val="20"/>
              </w:rPr>
            </w:pPr>
            <w:r w:rsidRPr="003B6E67">
              <w:rPr>
                <w:sz w:val="20"/>
                <w:szCs w:val="20"/>
              </w:rPr>
              <w:t>233</w:t>
            </w:r>
          </w:p>
        </w:tc>
        <w:tc>
          <w:tcPr>
            <w:tcW w:w="1171" w:type="dxa"/>
            <w:vAlign w:val="center"/>
          </w:tcPr>
          <w:p w:rsidR="00C911C2" w:rsidRPr="003B6E67" w:rsidRDefault="00C911C2" w:rsidP="00283C66">
            <w:pPr>
              <w:jc w:val="center"/>
              <w:rPr>
                <w:sz w:val="20"/>
                <w:szCs w:val="20"/>
              </w:rPr>
            </w:pPr>
            <w:r w:rsidRPr="003B6E67">
              <w:rPr>
                <w:sz w:val="20"/>
                <w:szCs w:val="20"/>
              </w:rPr>
              <w:t>218</w:t>
            </w:r>
          </w:p>
        </w:tc>
        <w:tc>
          <w:tcPr>
            <w:tcW w:w="1171" w:type="dxa"/>
            <w:vAlign w:val="center"/>
          </w:tcPr>
          <w:p w:rsidR="00C911C2" w:rsidRPr="003B6E67" w:rsidRDefault="00C911C2" w:rsidP="00283C66">
            <w:pPr>
              <w:jc w:val="center"/>
              <w:rPr>
                <w:sz w:val="20"/>
                <w:szCs w:val="20"/>
              </w:rPr>
            </w:pPr>
            <w:r w:rsidRPr="003B6E67">
              <w:rPr>
                <w:sz w:val="20"/>
                <w:szCs w:val="20"/>
              </w:rPr>
              <w:t>161</w:t>
            </w:r>
          </w:p>
        </w:tc>
        <w:tc>
          <w:tcPr>
            <w:tcW w:w="1172" w:type="dxa"/>
            <w:vAlign w:val="center"/>
          </w:tcPr>
          <w:p w:rsidR="00C911C2" w:rsidRPr="003B6E67" w:rsidRDefault="00C911C2" w:rsidP="00283C66">
            <w:pPr>
              <w:jc w:val="center"/>
              <w:rPr>
                <w:sz w:val="20"/>
                <w:szCs w:val="20"/>
              </w:rPr>
            </w:pPr>
            <w:r w:rsidRPr="003B6E67">
              <w:rPr>
                <w:sz w:val="20"/>
                <w:szCs w:val="20"/>
              </w:rPr>
              <w:t>861</w:t>
            </w:r>
          </w:p>
        </w:tc>
        <w:tc>
          <w:tcPr>
            <w:tcW w:w="1172" w:type="dxa"/>
            <w:vAlign w:val="center"/>
          </w:tcPr>
          <w:p w:rsidR="00C911C2" w:rsidRPr="003B6E67" w:rsidRDefault="00C911C2" w:rsidP="00283C66">
            <w:pPr>
              <w:jc w:val="center"/>
              <w:rPr>
                <w:sz w:val="20"/>
                <w:szCs w:val="20"/>
              </w:rPr>
            </w:pPr>
            <w:r w:rsidRPr="003B6E67">
              <w:rPr>
                <w:sz w:val="20"/>
                <w:szCs w:val="20"/>
              </w:rPr>
              <w:t>215</w:t>
            </w:r>
          </w:p>
        </w:tc>
        <w:tc>
          <w:tcPr>
            <w:tcW w:w="1172" w:type="dxa"/>
            <w:vAlign w:val="center"/>
          </w:tcPr>
          <w:p w:rsidR="00C911C2" w:rsidRPr="003B6E67" w:rsidRDefault="00C911C2" w:rsidP="00283C66">
            <w:pPr>
              <w:jc w:val="center"/>
              <w:rPr>
                <w:sz w:val="20"/>
                <w:szCs w:val="20"/>
              </w:rPr>
            </w:pPr>
            <w:r w:rsidRPr="003B6E67">
              <w:rPr>
                <w:sz w:val="20"/>
                <w:szCs w:val="20"/>
              </w:rPr>
              <w:t>0,24</w:t>
            </w:r>
          </w:p>
        </w:tc>
      </w:tr>
      <w:tr w:rsidR="00C911C2" w:rsidRPr="00F15CE9" w:rsidTr="003E660E">
        <w:tc>
          <w:tcPr>
            <w:tcW w:w="1373" w:type="dxa"/>
            <w:vAlign w:val="center"/>
          </w:tcPr>
          <w:p w:rsidR="00C911C2" w:rsidRPr="003B6E67" w:rsidRDefault="00C911C2" w:rsidP="00283C66">
            <w:pPr>
              <w:jc w:val="center"/>
              <w:rPr>
                <w:sz w:val="20"/>
                <w:szCs w:val="20"/>
              </w:rPr>
            </w:pPr>
            <w:r w:rsidRPr="003B6E67">
              <w:rPr>
                <w:sz w:val="20"/>
                <w:szCs w:val="20"/>
              </w:rPr>
              <w:t>Территориальные</w:t>
            </w:r>
          </w:p>
        </w:tc>
        <w:tc>
          <w:tcPr>
            <w:tcW w:w="1170" w:type="dxa"/>
            <w:vAlign w:val="center"/>
          </w:tcPr>
          <w:p w:rsidR="00C911C2" w:rsidRPr="003B6E67" w:rsidRDefault="00C911C2" w:rsidP="00283C66">
            <w:pPr>
              <w:jc w:val="center"/>
              <w:rPr>
                <w:sz w:val="20"/>
                <w:szCs w:val="20"/>
              </w:rPr>
            </w:pPr>
            <w:r w:rsidRPr="003B6E67">
              <w:rPr>
                <w:sz w:val="20"/>
                <w:szCs w:val="20"/>
              </w:rPr>
              <w:t>49</w:t>
            </w:r>
          </w:p>
        </w:tc>
        <w:tc>
          <w:tcPr>
            <w:tcW w:w="1170" w:type="dxa"/>
            <w:vAlign w:val="center"/>
          </w:tcPr>
          <w:p w:rsidR="00C911C2" w:rsidRPr="003B6E67" w:rsidRDefault="00C911C2" w:rsidP="00283C66">
            <w:pPr>
              <w:jc w:val="center"/>
              <w:rPr>
                <w:sz w:val="20"/>
                <w:szCs w:val="20"/>
              </w:rPr>
            </w:pPr>
            <w:r w:rsidRPr="003B6E67">
              <w:rPr>
                <w:sz w:val="20"/>
                <w:szCs w:val="20"/>
              </w:rPr>
              <w:t>45</w:t>
            </w:r>
          </w:p>
        </w:tc>
        <w:tc>
          <w:tcPr>
            <w:tcW w:w="1171" w:type="dxa"/>
            <w:vAlign w:val="center"/>
          </w:tcPr>
          <w:p w:rsidR="00C911C2" w:rsidRPr="003B6E67" w:rsidRDefault="00C911C2" w:rsidP="00283C66">
            <w:pPr>
              <w:jc w:val="center"/>
              <w:rPr>
                <w:sz w:val="20"/>
                <w:szCs w:val="20"/>
              </w:rPr>
            </w:pPr>
            <w:r w:rsidRPr="003B6E67">
              <w:rPr>
                <w:sz w:val="20"/>
                <w:szCs w:val="20"/>
              </w:rPr>
              <w:t>24</w:t>
            </w:r>
          </w:p>
        </w:tc>
        <w:tc>
          <w:tcPr>
            <w:tcW w:w="1171" w:type="dxa"/>
            <w:vAlign w:val="center"/>
          </w:tcPr>
          <w:p w:rsidR="00C911C2" w:rsidRPr="003B6E67" w:rsidRDefault="00C911C2" w:rsidP="00283C66">
            <w:pPr>
              <w:jc w:val="center"/>
              <w:rPr>
                <w:sz w:val="20"/>
                <w:szCs w:val="20"/>
              </w:rPr>
            </w:pPr>
            <w:r w:rsidRPr="003B6E67">
              <w:rPr>
                <w:sz w:val="20"/>
                <w:szCs w:val="20"/>
              </w:rPr>
              <w:t>9</w:t>
            </w:r>
          </w:p>
        </w:tc>
        <w:tc>
          <w:tcPr>
            <w:tcW w:w="1172" w:type="dxa"/>
            <w:vAlign w:val="center"/>
          </w:tcPr>
          <w:p w:rsidR="00C911C2" w:rsidRPr="003B6E67" w:rsidRDefault="00C911C2" w:rsidP="00283C66">
            <w:pPr>
              <w:jc w:val="center"/>
              <w:rPr>
                <w:sz w:val="20"/>
                <w:szCs w:val="20"/>
              </w:rPr>
            </w:pPr>
            <w:r w:rsidRPr="003B6E67">
              <w:rPr>
                <w:sz w:val="20"/>
                <w:szCs w:val="20"/>
              </w:rPr>
              <w:t>127</w:t>
            </w:r>
          </w:p>
        </w:tc>
        <w:tc>
          <w:tcPr>
            <w:tcW w:w="1172" w:type="dxa"/>
            <w:vAlign w:val="center"/>
          </w:tcPr>
          <w:p w:rsidR="00C911C2" w:rsidRPr="003B6E67" w:rsidRDefault="00C911C2" w:rsidP="00283C66">
            <w:pPr>
              <w:jc w:val="center"/>
              <w:rPr>
                <w:sz w:val="20"/>
                <w:szCs w:val="20"/>
              </w:rPr>
            </w:pPr>
            <w:r w:rsidRPr="003B6E67">
              <w:rPr>
                <w:sz w:val="20"/>
                <w:szCs w:val="20"/>
              </w:rPr>
              <w:t>32</w:t>
            </w:r>
          </w:p>
        </w:tc>
        <w:tc>
          <w:tcPr>
            <w:tcW w:w="1172" w:type="dxa"/>
            <w:vAlign w:val="center"/>
          </w:tcPr>
          <w:p w:rsidR="00C911C2" w:rsidRPr="003B6E67" w:rsidRDefault="00C911C2" w:rsidP="00283C66">
            <w:pPr>
              <w:jc w:val="center"/>
              <w:rPr>
                <w:sz w:val="20"/>
                <w:szCs w:val="20"/>
              </w:rPr>
            </w:pPr>
            <w:r w:rsidRPr="003B6E67">
              <w:rPr>
                <w:sz w:val="20"/>
                <w:szCs w:val="20"/>
              </w:rPr>
              <w:t>0,04</w:t>
            </w:r>
          </w:p>
        </w:tc>
      </w:tr>
      <w:tr w:rsidR="00C911C2" w:rsidRPr="00F15CE9" w:rsidTr="003E660E">
        <w:tc>
          <w:tcPr>
            <w:tcW w:w="1373" w:type="dxa"/>
            <w:vAlign w:val="center"/>
          </w:tcPr>
          <w:p w:rsidR="00C911C2" w:rsidRPr="003B6E67" w:rsidRDefault="00C911C2" w:rsidP="00283C66">
            <w:pPr>
              <w:jc w:val="center"/>
              <w:rPr>
                <w:sz w:val="20"/>
                <w:szCs w:val="20"/>
              </w:rPr>
            </w:pPr>
            <w:r w:rsidRPr="003B6E67">
              <w:rPr>
                <w:sz w:val="20"/>
                <w:szCs w:val="20"/>
              </w:rPr>
              <w:t>Региональные</w:t>
            </w:r>
          </w:p>
        </w:tc>
        <w:tc>
          <w:tcPr>
            <w:tcW w:w="1170" w:type="dxa"/>
            <w:vAlign w:val="center"/>
          </w:tcPr>
          <w:p w:rsidR="00C911C2" w:rsidRPr="003B6E67" w:rsidRDefault="00C911C2" w:rsidP="00283C66">
            <w:pPr>
              <w:jc w:val="center"/>
              <w:rPr>
                <w:sz w:val="20"/>
                <w:szCs w:val="20"/>
              </w:rPr>
            </w:pPr>
            <w:r w:rsidRPr="003B6E67">
              <w:rPr>
                <w:sz w:val="20"/>
                <w:szCs w:val="20"/>
              </w:rPr>
              <w:t>2</w:t>
            </w:r>
          </w:p>
        </w:tc>
        <w:tc>
          <w:tcPr>
            <w:tcW w:w="1170" w:type="dxa"/>
            <w:vAlign w:val="center"/>
          </w:tcPr>
          <w:p w:rsidR="00C911C2" w:rsidRPr="003B6E67" w:rsidRDefault="00C911C2" w:rsidP="00283C66">
            <w:pPr>
              <w:jc w:val="center"/>
              <w:rPr>
                <w:sz w:val="20"/>
                <w:szCs w:val="20"/>
              </w:rPr>
            </w:pPr>
            <w:r w:rsidRPr="003B6E67">
              <w:rPr>
                <w:sz w:val="20"/>
                <w:szCs w:val="20"/>
              </w:rPr>
              <w:t>2</w:t>
            </w:r>
          </w:p>
        </w:tc>
        <w:tc>
          <w:tcPr>
            <w:tcW w:w="1171" w:type="dxa"/>
            <w:vAlign w:val="center"/>
          </w:tcPr>
          <w:p w:rsidR="00C911C2" w:rsidRPr="003B6E67" w:rsidRDefault="00C911C2" w:rsidP="00283C66">
            <w:pPr>
              <w:jc w:val="center"/>
              <w:rPr>
                <w:sz w:val="20"/>
                <w:szCs w:val="20"/>
              </w:rPr>
            </w:pPr>
            <w:r w:rsidRPr="003B6E67">
              <w:rPr>
                <w:sz w:val="20"/>
                <w:szCs w:val="20"/>
              </w:rPr>
              <w:t>0</w:t>
            </w:r>
          </w:p>
        </w:tc>
        <w:tc>
          <w:tcPr>
            <w:tcW w:w="1171" w:type="dxa"/>
            <w:vAlign w:val="center"/>
          </w:tcPr>
          <w:p w:rsidR="00C911C2" w:rsidRPr="003B6E67" w:rsidRDefault="00C911C2" w:rsidP="00283C66">
            <w:pPr>
              <w:jc w:val="center"/>
              <w:rPr>
                <w:sz w:val="20"/>
                <w:szCs w:val="20"/>
              </w:rPr>
            </w:pPr>
            <w:r w:rsidRPr="003B6E67">
              <w:rPr>
                <w:sz w:val="20"/>
                <w:szCs w:val="20"/>
              </w:rPr>
              <w:t>1</w:t>
            </w:r>
          </w:p>
        </w:tc>
        <w:tc>
          <w:tcPr>
            <w:tcW w:w="1172" w:type="dxa"/>
            <w:vAlign w:val="center"/>
          </w:tcPr>
          <w:p w:rsidR="00C911C2" w:rsidRPr="003B6E67" w:rsidRDefault="00C911C2" w:rsidP="00283C66">
            <w:pPr>
              <w:jc w:val="center"/>
              <w:rPr>
                <w:sz w:val="20"/>
                <w:szCs w:val="20"/>
              </w:rPr>
            </w:pPr>
            <w:r w:rsidRPr="003B6E67">
              <w:rPr>
                <w:sz w:val="20"/>
                <w:szCs w:val="20"/>
              </w:rPr>
              <w:t>5</w:t>
            </w:r>
          </w:p>
        </w:tc>
        <w:tc>
          <w:tcPr>
            <w:tcW w:w="1172" w:type="dxa"/>
            <w:vAlign w:val="center"/>
          </w:tcPr>
          <w:p w:rsidR="00C911C2" w:rsidRPr="003B6E67" w:rsidRDefault="00C911C2" w:rsidP="00283C66">
            <w:pPr>
              <w:jc w:val="center"/>
              <w:rPr>
                <w:sz w:val="20"/>
                <w:szCs w:val="20"/>
              </w:rPr>
            </w:pPr>
            <w:r w:rsidRPr="003B6E67">
              <w:rPr>
                <w:sz w:val="20"/>
                <w:szCs w:val="20"/>
              </w:rPr>
              <w:t>1,25</w:t>
            </w:r>
          </w:p>
        </w:tc>
        <w:tc>
          <w:tcPr>
            <w:tcW w:w="1172" w:type="dxa"/>
            <w:vAlign w:val="center"/>
          </w:tcPr>
          <w:p w:rsidR="00C911C2" w:rsidRPr="003B6E67" w:rsidRDefault="00C911C2" w:rsidP="00283C66">
            <w:pPr>
              <w:jc w:val="center"/>
              <w:rPr>
                <w:sz w:val="20"/>
                <w:szCs w:val="20"/>
              </w:rPr>
            </w:pPr>
            <w:r w:rsidRPr="003B6E67">
              <w:rPr>
                <w:sz w:val="20"/>
                <w:szCs w:val="20"/>
              </w:rPr>
              <w:t>0,001</w:t>
            </w:r>
          </w:p>
        </w:tc>
      </w:tr>
      <w:tr w:rsidR="00C911C2" w:rsidRPr="00F15CE9" w:rsidTr="003E660E">
        <w:tc>
          <w:tcPr>
            <w:tcW w:w="1373" w:type="dxa"/>
            <w:vAlign w:val="center"/>
          </w:tcPr>
          <w:p w:rsidR="00C911C2" w:rsidRPr="003B6E67" w:rsidRDefault="00C911C2" w:rsidP="00283C66">
            <w:pPr>
              <w:jc w:val="center"/>
              <w:rPr>
                <w:sz w:val="20"/>
                <w:szCs w:val="20"/>
              </w:rPr>
            </w:pPr>
            <w:r w:rsidRPr="003B6E67">
              <w:rPr>
                <w:sz w:val="20"/>
                <w:szCs w:val="20"/>
              </w:rPr>
              <w:t>Федеральные</w:t>
            </w:r>
          </w:p>
        </w:tc>
        <w:tc>
          <w:tcPr>
            <w:tcW w:w="1170" w:type="dxa"/>
            <w:vAlign w:val="center"/>
          </w:tcPr>
          <w:p w:rsidR="00C911C2" w:rsidRPr="003B6E67" w:rsidRDefault="00C911C2" w:rsidP="00283C66">
            <w:pPr>
              <w:jc w:val="center"/>
              <w:rPr>
                <w:sz w:val="20"/>
                <w:szCs w:val="20"/>
              </w:rPr>
            </w:pPr>
            <w:r w:rsidRPr="003B6E67">
              <w:rPr>
                <w:sz w:val="20"/>
                <w:szCs w:val="20"/>
              </w:rPr>
              <w:t>2</w:t>
            </w:r>
          </w:p>
        </w:tc>
        <w:tc>
          <w:tcPr>
            <w:tcW w:w="1170" w:type="dxa"/>
            <w:vAlign w:val="center"/>
          </w:tcPr>
          <w:p w:rsidR="00C911C2" w:rsidRPr="003B6E67" w:rsidRDefault="00C911C2" w:rsidP="00283C66">
            <w:pPr>
              <w:jc w:val="center"/>
              <w:rPr>
                <w:sz w:val="20"/>
                <w:szCs w:val="20"/>
              </w:rPr>
            </w:pPr>
            <w:r w:rsidRPr="003B6E67">
              <w:rPr>
                <w:sz w:val="20"/>
                <w:szCs w:val="20"/>
              </w:rPr>
              <w:t>1</w:t>
            </w:r>
          </w:p>
        </w:tc>
        <w:tc>
          <w:tcPr>
            <w:tcW w:w="1171" w:type="dxa"/>
            <w:vAlign w:val="center"/>
          </w:tcPr>
          <w:p w:rsidR="00C911C2" w:rsidRPr="003B6E67" w:rsidRDefault="00C911C2" w:rsidP="00283C66">
            <w:pPr>
              <w:jc w:val="center"/>
              <w:rPr>
                <w:sz w:val="20"/>
                <w:szCs w:val="20"/>
              </w:rPr>
            </w:pPr>
            <w:r w:rsidRPr="003B6E67">
              <w:rPr>
                <w:sz w:val="20"/>
                <w:szCs w:val="20"/>
              </w:rPr>
              <w:t>0</w:t>
            </w:r>
          </w:p>
        </w:tc>
        <w:tc>
          <w:tcPr>
            <w:tcW w:w="1171" w:type="dxa"/>
            <w:vAlign w:val="center"/>
          </w:tcPr>
          <w:p w:rsidR="00C911C2" w:rsidRPr="003B6E67" w:rsidRDefault="00C911C2" w:rsidP="00283C66">
            <w:pPr>
              <w:jc w:val="center"/>
              <w:rPr>
                <w:sz w:val="20"/>
                <w:szCs w:val="20"/>
              </w:rPr>
            </w:pPr>
            <w:r w:rsidRPr="003B6E67">
              <w:rPr>
                <w:sz w:val="20"/>
                <w:szCs w:val="20"/>
              </w:rPr>
              <w:t>1</w:t>
            </w:r>
          </w:p>
        </w:tc>
        <w:tc>
          <w:tcPr>
            <w:tcW w:w="1172" w:type="dxa"/>
            <w:vAlign w:val="center"/>
          </w:tcPr>
          <w:p w:rsidR="00C911C2" w:rsidRPr="003B6E67" w:rsidRDefault="00C911C2" w:rsidP="00283C66">
            <w:pPr>
              <w:jc w:val="center"/>
              <w:rPr>
                <w:sz w:val="20"/>
                <w:szCs w:val="20"/>
              </w:rPr>
            </w:pPr>
            <w:r w:rsidRPr="003B6E67">
              <w:rPr>
                <w:sz w:val="20"/>
                <w:szCs w:val="20"/>
              </w:rPr>
              <w:t>4</w:t>
            </w:r>
          </w:p>
        </w:tc>
        <w:tc>
          <w:tcPr>
            <w:tcW w:w="1172" w:type="dxa"/>
            <w:vAlign w:val="center"/>
          </w:tcPr>
          <w:p w:rsidR="00C911C2" w:rsidRPr="003B6E67" w:rsidRDefault="00C911C2" w:rsidP="00283C66">
            <w:pPr>
              <w:jc w:val="center"/>
              <w:rPr>
                <w:sz w:val="20"/>
                <w:szCs w:val="20"/>
              </w:rPr>
            </w:pPr>
            <w:r w:rsidRPr="003B6E67">
              <w:rPr>
                <w:sz w:val="20"/>
                <w:szCs w:val="20"/>
              </w:rPr>
              <w:t>1,0</w:t>
            </w:r>
          </w:p>
        </w:tc>
        <w:tc>
          <w:tcPr>
            <w:tcW w:w="1172" w:type="dxa"/>
            <w:vAlign w:val="center"/>
          </w:tcPr>
          <w:p w:rsidR="00C911C2" w:rsidRPr="003B6E67" w:rsidRDefault="00C911C2" w:rsidP="00283C66">
            <w:pPr>
              <w:jc w:val="center"/>
              <w:rPr>
                <w:sz w:val="20"/>
                <w:szCs w:val="20"/>
              </w:rPr>
            </w:pPr>
            <w:r w:rsidRPr="003B6E67">
              <w:rPr>
                <w:sz w:val="20"/>
                <w:szCs w:val="20"/>
              </w:rPr>
              <w:t>0,001</w:t>
            </w:r>
          </w:p>
        </w:tc>
      </w:tr>
    </w:tbl>
    <w:p w:rsidR="00C911C2" w:rsidRPr="00F15CE9" w:rsidRDefault="00C911C2" w:rsidP="00283C66">
      <w:pPr>
        <w:jc w:val="both"/>
      </w:pPr>
    </w:p>
    <w:p w:rsidR="00C911C2" w:rsidRPr="00F15CE9" w:rsidRDefault="00C911C2" w:rsidP="00C911C2">
      <w:pPr>
        <w:spacing w:line="360" w:lineRule="auto"/>
        <w:jc w:val="right"/>
      </w:pPr>
      <w:r w:rsidRPr="00F15CE9">
        <w:t>Таблица 2</w:t>
      </w:r>
    </w:p>
    <w:p w:rsidR="00C911C2" w:rsidRPr="00F15CE9" w:rsidRDefault="00C911C2" w:rsidP="00C911C2">
      <w:pPr>
        <w:spacing w:line="360" w:lineRule="auto"/>
        <w:jc w:val="center"/>
      </w:pPr>
      <w:r w:rsidRPr="00F15CE9">
        <w:t>Распределение техногенных опасностей по видам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874"/>
        <w:gridCol w:w="874"/>
        <w:gridCol w:w="874"/>
        <w:gridCol w:w="874"/>
        <w:gridCol w:w="874"/>
        <w:gridCol w:w="986"/>
        <w:gridCol w:w="853"/>
        <w:gridCol w:w="853"/>
      </w:tblGrid>
      <w:tr w:rsidR="00C911C2" w:rsidRPr="00F15CE9" w:rsidTr="003E660E">
        <w:tc>
          <w:tcPr>
            <w:tcW w:w="1063" w:type="dxa"/>
            <w:vMerge w:val="restart"/>
            <w:vAlign w:val="center"/>
          </w:tcPr>
          <w:p w:rsidR="00C911C2" w:rsidRPr="003B6E67" w:rsidRDefault="00C911C2" w:rsidP="00283C66">
            <w:pPr>
              <w:jc w:val="center"/>
              <w:rPr>
                <w:sz w:val="20"/>
                <w:szCs w:val="20"/>
              </w:rPr>
            </w:pPr>
            <w:r w:rsidRPr="003B6E67">
              <w:rPr>
                <w:sz w:val="20"/>
                <w:szCs w:val="20"/>
              </w:rPr>
              <w:t>Виды опасностей по источникам возникновения</w:t>
            </w:r>
          </w:p>
        </w:tc>
        <w:tc>
          <w:tcPr>
            <w:tcW w:w="5316" w:type="dxa"/>
            <w:gridSpan w:val="5"/>
            <w:vAlign w:val="center"/>
          </w:tcPr>
          <w:p w:rsidR="00C911C2" w:rsidRPr="003B6E67" w:rsidRDefault="00C911C2" w:rsidP="00283C66">
            <w:pPr>
              <w:jc w:val="center"/>
              <w:rPr>
                <w:sz w:val="20"/>
                <w:szCs w:val="20"/>
              </w:rPr>
            </w:pPr>
            <w:r w:rsidRPr="003B6E67">
              <w:rPr>
                <w:sz w:val="20"/>
                <w:szCs w:val="20"/>
              </w:rPr>
              <w:t>Годы</w:t>
            </w:r>
          </w:p>
        </w:tc>
        <w:tc>
          <w:tcPr>
            <w:tcW w:w="3192" w:type="dxa"/>
            <w:gridSpan w:val="3"/>
            <w:vAlign w:val="center"/>
          </w:tcPr>
          <w:p w:rsidR="00C911C2" w:rsidRPr="003B6E67" w:rsidRDefault="00C911C2" w:rsidP="00283C66">
            <w:pPr>
              <w:jc w:val="center"/>
              <w:rPr>
                <w:sz w:val="20"/>
                <w:szCs w:val="20"/>
              </w:rPr>
            </w:pPr>
            <w:r w:rsidRPr="003B6E67">
              <w:rPr>
                <w:sz w:val="20"/>
                <w:szCs w:val="20"/>
              </w:rPr>
              <w:t>Статистические характеристики</w:t>
            </w:r>
          </w:p>
        </w:tc>
      </w:tr>
      <w:tr w:rsidR="00C911C2" w:rsidRPr="00F15CE9" w:rsidTr="003E660E">
        <w:tc>
          <w:tcPr>
            <w:tcW w:w="1063" w:type="dxa"/>
            <w:vMerge/>
            <w:vAlign w:val="center"/>
          </w:tcPr>
          <w:p w:rsidR="00C911C2" w:rsidRPr="003B6E67" w:rsidRDefault="00C911C2" w:rsidP="00283C66">
            <w:pPr>
              <w:jc w:val="center"/>
              <w:rPr>
                <w:sz w:val="20"/>
                <w:szCs w:val="20"/>
              </w:rPr>
            </w:pPr>
          </w:p>
        </w:tc>
        <w:tc>
          <w:tcPr>
            <w:tcW w:w="1063" w:type="dxa"/>
            <w:vAlign w:val="center"/>
          </w:tcPr>
          <w:p w:rsidR="00C911C2" w:rsidRPr="003B6E67" w:rsidRDefault="00C911C2" w:rsidP="00283C66">
            <w:pPr>
              <w:jc w:val="center"/>
              <w:rPr>
                <w:sz w:val="20"/>
                <w:szCs w:val="20"/>
              </w:rPr>
            </w:pPr>
            <w:r w:rsidRPr="003B6E67">
              <w:rPr>
                <w:sz w:val="20"/>
                <w:szCs w:val="20"/>
              </w:rPr>
              <w:t>1996</w:t>
            </w:r>
          </w:p>
        </w:tc>
        <w:tc>
          <w:tcPr>
            <w:tcW w:w="1063" w:type="dxa"/>
            <w:vAlign w:val="center"/>
          </w:tcPr>
          <w:p w:rsidR="00C911C2" w:rsidRPr="003B6E67" w:rsidRDefault="00C911C2" w:rsidP="00283C66">
            <w:pPr>
              <w:jc w:val="center"/>
              <w:rPr>
                <w:sz w:val="20"/>
                <w:szCs w:val="20"/>
              </w:rPr>
            </w:pPr>
            <w:r w:rsidRPr="003B6E67">
              <w:rPr>
                <w:sz w:val="20"/>
                <w:szCs w:val="20"/>
              </w:rPr>
              <w:t>1997</w:t>
            </w:r>
          </w:p>
        </w:tc>
        <w:tc>
          <w:tcPr>
            <w:tcW w:w="1063" w:type="dxa"/>
            <w:vAlign w:val="center"/>
          </w:tcPr>
          <w:p w:rsidR="00C911C2" w:rsidRPr="003B6E67" w:rsidRDefault="00C911C2" w:rsidP="00283C66">
            <w:pPr>
              <w:jc w:val="center"/>
              <w:rPr>
                <w:sz w:val="20"/>
                <w:szCs w:val="20"/>
              </w:rPr>
            </w:pPr>
            <w:r w:rsidRPr="003B6E67">
              <w:rPr>
                <w:sz w:val="20"/>
                <w:szCs w:val="20"/>
              </w:rPr>
              <w:t>1998</w:t>
            </w:r>
          </w:p>
        </w:tc>
        <w:tc>
          <w:tcPr>
            <w:tcW w:w="1063" w:type="dxa"/>
            <w:vAlign w:val="center"/>
          </w:tcPr>
          <w:p w:rsidR="00C911C2" w:rsidRPr="003B6E67" w:rsidRDefault="00C911C2" w:rsidP="00283C66">
            <w:pPr>
              <w:jc w:val="center"/>
              <w:rPr>
                <w:sz w:val="20"/>
                <w:szCs w:val="20"/>
              </w:rPr>
            </w:pPr>
            <w:r w:rsidRPr="003B6E67">
              <w:rPr>
                <w:sz w:val="20"/>
                <w:szCs w:val="20"/>
              </w:rPr>
              <w:t>1999</w:t>
            </w:r>
          </w:p>
        </w:tc>
        <w:tc>
          <w:tcPr>
            <w:tcW w:w="1064" w:type="dxa"/>
            <w:vAlign w:val="center"/>
          </w:tcPr>
          <w:p w:rsidR="00C911C2" w:rsidRPr="003B6E67" w:rsidRDefault="00C911C2" w:rsidP="00283C66">
            <w:pPr>
              <w:jc w:val="center"/>
              <w:rPr>
                <w:sz w:val="20"/>
                <w:szCs w:val="20"/>
              </w:rPr>
            </w:pPr>
            <w:r w:rsidRPr="003B6E67">
              <w:rPr>
                <w:sz w:val="20"/>
                <w:szCs w:val="20"/>
              </w:rPr>
              <w:t>2000</w:t>
            </w:r>
          </w:p>
        </w:tc>
        <w:tc>
          <w:tcPr>
            <w:tcW w:w="1064" w:type="dxa"/>
            <w:vAlign w:val="center"/>
          </w:tcPr>
          <w:p w:rsidR="00C911C2" w:rsidRPr="003B6E67" w:rsidRDefault="00C911C2" w:rsidP="00283C66">
            <w:pPr>
              <w:jc w:val="center"/>
              <w:rPr>
                <w:sz w:val="20"/>
                <w:szCs w:val="20"/>
              </w:rPr>
            </w:pPr>
            <w:r w:rsidRPr="003B6E67">
              <w:rPr>
                <w:sz w:val="20"/>
                <w:szCs w:val="20"/>
              </w:rPr>
              <w:t>среднее</w:t>
            </w:r>
          </w:p>
        </w:tc>
        <w:tc>
          <w:tcPr>
            <w:tcW w:w="1064" w:type="dxa"/>
            <w:vAlign w:val="center"/>
          </w:tcPr>
          <w:p w:rsidR="00C911C2" w:rsidRPr="003B6E67" w:rsidRDefault="00C911C2" w:rsidP="00283C66">
            <w:pPr>
              <w:jc w:val="center"/>
              <w:rPr>
                <w:sz w:val="20"/>
                <w:szCs w:val="20"/>
              </w:rPr>
            </w:pPr>
            <w:r w:rsidRPr="003B6E67">
              <w:rPr>
                <w:sz w:val="20"/>
                <w:szCs w:val="20"/>
              </w:rPr>
              <w:t>σ</w:t>
            </w:r>
          </w:p>
        </w:tc>
        <w:tc>
          <w:tcPr>
            <w:tcW w:w="1064" w:type="dxa"/>
            <w:vAlign w:val="center"/>
          </w:tcPr>
          <w:p w:rsidR="00C911C2" w:rsidRPr="003B6E67" w:rsidRDefault="00C911C2" w:rsidP="00283C66">
            <w:pPr>
              <w:jc w:val="center"/>
              <w:rPr>
                <w:sz w:val="20"/>
                <w:szCs w:val="20"/>
              </w:rPr>
            </w:pPr>
            <w:r w:rsidRPr="003B6E67">
              <w:rPr>
                <w:sz w:val="20"/>
                <w:szCs w:val="20"/>
              </w:rPr>
              <w:t>ν</w:t>
            </w:r>
          </w:p>
        </w:tc>
      </w:tr>
      <w:tr w:rsidR="00C911C2" w:rsidRPr="00F15CE9" w:rsidTr="003E660E">
        <w:tc>
          <w:tcPr>
            <w:tcW w:w="1063" w:type="dxa"/>
            <w:vAlign w:val="center"/>
          </w:tcPr>
          <w:p w:rsidR="00C911C2" w:rsidRPr="003B6E67" w:rsidRDefault="00C911C2" w:rsidP="00283C66">
            <w:pPr>
              <w:jc w:val="center"/>
              <w:rPr>
                <w:sz w:val="20"/>
                <w:szCs w:val="20"/>
              </w:rPr>
            </w:pPr>
            <w:r w:rsidRPr="003B6E67">
              <w:rPr>
                <w:sz w:val="20"/>
                <w:szCs w:val="20"/>
              </w:rPr>
              <w:t xml:space="preserve">Пожары в зданиях, на коммуникациях и технологическом оборудовании (в </w:t>
            </w:r>
            <w:proofErr w:type="spellStart"/>
            <w:r w:rsidRPr="003B6E67">
              <w:rPr>
                <w:sz w:val="20"/>
                <w:szCs w:val="20"/>
              </w:rPr>
              <w:t>т.ч</w:t>
            </w:r>
            <w:proofErr w:type="spellEnd"/>
            <w:r w:rsidRPr="003B6E67">
              <w:rPr>
                <w:sz w:val="20"/>
                <w:szCs w:val="20"/>
              </w:rPr>
              <w:t>. электроустановках)</w:t>
            </w:r>
          </w:p>
        </w:tc>
        <w:tc>
          <w:tcPr>
            <w:tcW w:w="1063" w:type="dxa"/>
            <w:vAlign w:val="center"/>
          </w:tcPr>
          <w:p w:rsidR="00C911C2" w:rsidRPr="003B6E67" w:rsidRDefault="00C911C2" w:rsidP="00283C66">
            <w:pPr>
              <w:jc w:val="center"/>
              <w:rPr>
                <w:sz w:val="20"/>
                <w:szCs w:val="20"/>
              </w:rPr>
            </w:pPr>
            <w:r w:rsidRPr="003B6E67">
              <w:rPr>
                <w:sz w:val="20"/>
                <w:szCs w:val="20"/>
              </w:rPr>
              <w:t>332</w:t>
            </w:r>
          </w:p>
        </w:tc>
        <w:tc>
          <w:tcPr>
            <w:tcW w:w="1063" w:type="dxa"/>
            <w:vAlign w:val="center"/>
          </w:tcPr>
          <w:p w:rsidR="00C911C2" w:rsidRPr="003B6E67" w:rsidRDefault="00C911C2" w:rsidP="00283C66">
            <w:pPr>
              <w:jc w:val="center"/>
              <w:rPr>
                <w:sz w:val="20"/>
                <w:szCs w:val="20"/>
              </w:rPr>
            </w:pPr>
            <w:r w:rsidRPr="003B6E67">
              <w:rPr>
                <w:sz w:val="20"/>
                <w:szCs w:val="20"/>
              </w:rPr>
              <w:t>250</w:t>
            </w:r>
          </w:p>
        </w:tc>
        <w:tc>
          <w:tcPr>
            <w:tcW w:w="1063" w:type="dxa"/>
            <w:vAlign w:val="center"/>
          </w:tcPr>
          <w:p w:rsidR="00C911C2" w:rsidRPr="003B6E67" w:rsidRDefault="00C911C2" w:rsidP="00283C66">
            <w:pPr>
              <w:jc w:val="center"/>
              <w:rPr>
                <w:sz w:val="20"/>
                <w:szCs w:val="20"/>
              </w:rPr>
            </w:pPr>
            <w:r w:rsidRPr="003B6E67">
              <w:rPr>
                <w:sz w:val="20"/>
                <w:szCs w:val="20"/>
              </w:rPr>
              <w:t>114</w:t>
            </w:r>
          </w:p>
        </w:tc>
        <w:tc>
          <w:tcPr>
            <w:tcW w:w="1063" w:type="dxa"/>
            <w:vAlign w:val="center"/>
          </w:tcPr>
          <w:p w:rsidR="00C911C2" w:rsidRPr="003B6E67" w:rsidRDefault="00C911C2" w:rsidP="00283C66">
            <w:pPr>
              <w:jc w:val="center"/>
              <w:rPr>
                <w:sz w:val="20"/>
                <w:szCs w:val="20"/>
              </w:rPr>
            </w:pPr>
            <w:r w:rsidRPr="003B6E67">
              <w:rPr>
                <w:sz w:val="20"/>
                <w:szCs w:val="20"/>
              </w:rPr>
              <w:t>79</w:t>
            </w:r>
          </w:p>
        </w:tc>
        <w:tc>
          <w:tcPr>
            <w:tcW w:w="1064" w:type="dxa"/>
            <w:vAlign w:val="center"/>
          </w:tcPr>
          <w:p w:rsidR="00C911C2" w:rsidRPr="003B6E67" w:rsidRDefault="00C911C2" w:rsidP="00283C66">
            <w:pPr>
              <w:jc w:val="center"/>
              <w:rPr>
                <w:sz w:val="20"/>
                <w:szCs w:val="20"/>
              </w:rPr>
            </w:pPr>
            <w:r w:rsidRPr="003B6E67">
              <w:rPr>
                <w:sz w:val="20"/>
                <w:szCs w:val="20"/>
              </w:rPr>
              <w:t>54</w:t>
            </w:r>
          </w:p>
        </w:tc>
        <w:tc>
          <w:tcPr>
            <w:tcW w:w="1064" w:type="dxa"/>
            <w:vAlign w:val="center"/>
          </w:tcPr>
          <w:p w:rsidR="00C911C2" w:rsidRPr="003B6E67" w:rsidRDefault="00C911C2" w:rsidP="00283C66">
            <w:pPr>
              <w:jc w:val="center"/>
              <w:rPr>
                <w:sz w:val="20"/>
                <w:szCs w:val="20"/>
              </w:rPr>
            </w:pPr>
            <w:r w:rsidRPr="003B6E67">
              <w:rPr>
                <w:sz w:val="20"/>
                <w:szCs w:val="20"/>
              </w:rPr>
              <w:t>165</w:t>
            </w:r>
          </w:p>
        </w:tc>
        <w:tc>
          <w:tcPr>
            <w:tcW w:w="1064" w:type="dxa"/>
            <w:vAlign w:val="center"/>
          </w:tcPr>
          <w:p w:rsidR="00C911C2" w:rsidRPr="003B6E67" w:rsidRDefault="00C911C2" w:rsidP="00283C66">
            <w:pPr>
              <w:jc w:val="center"/>
              <w:rPr>
                <w:sz w:val="20"/>
                <w:szCs w:val="20"/>
              </w:rPr>
            </w:pPr>
            <w:r w:rsidRPr="003B6E67">
              <w:rPr>
                <w:sz w:val="20"/>
                <w:szCs w:val="20"/>
              </w:rPr>
              <w:t>125</w:t>
            </w:r>
          </w:p>
        </w:tc>
        <w:tc>
          <w:tcPr>
            <w:tcW w:w="1064" w:type="dxa"/>
            <w:vAlign w:val="center"/>
          </w:tcPr>
          <w:p w:rsidR="00C911C2" w:rsidRPr="003B6E67" w:rsidRDefault="00C911C2" w:rsidP="00283C66">
            <w:pPr>
              <w:jc w:val="center"/>
              <w:rPr>
                <w:sz w:val="20"/>
                <w:szCs w:val="20"/>
              </w:rPr>
            </w:pPr>
            <w:r w:rsidRPr="003B6E67">
              <w:rPr>
                <w:sz w:val="20"/>
                <w:szCs w:val="20"/>
              </w:rPr>
              <w:t>0,75</w:t>
            </w:r>
          </w:p>
        </w:tc>
      </w:tr>
      <w:tr w:rsidR="00C911C2" w:rsidRPr="00F15CE9" w:rsidTr="003E660E">
        <w:tc>
          <w:tcPr>
            <w:tcW w:w="1063" w:type="dxa"/>
            <w:vAlign w:val="center"/>
          </w:tcPr>
          <w:p w:rsidR="00C911C2" w:rsidRPr="003B6E67" w:rsidRDefault="00C911C2" w:rsidP="00283C66">
            <w:pPr>
              <w:jc w:val="center"/>
              <w:rPr>
                <w:sz w:val="20"/>
                <w:szCs w:val="20"/>
              </w:rPr>
            </w:pPr>
            <w:r w:rsidRPr="003B6E67">
              <w:rPr>
                <w:sz w:val="20"/>
                <w:szCs w:val="20"/>
              </w:rPr>
              <w:t>Пожары в зданиях и сооружениях социально-бытового назначения</w:t>
            </w:r>
          </w:p>
        </w:tc>
        <w:tc>
          <w:tcPr>
            <w:tcW w:w="1063" w:type="dxa"/>
            <w:vAlign w:val="center"/>
          </w:tcPr>
          <w:p w:rsidR="00C911C2" w:rsidRPr="003B6E67" w:rsidRDefault="00C911C2" w:rsidP="00283C66">
            <w:pPr>
              <w:jc w:val="center"/>
              <w:rPr>
                <w:sz w:val="20"/>
                <w:szCs w:val="20"/>
              </w:rPr>
            </w:pPr>
            <w:r w:rsidRPr="003B6E67">
              <w:rPr>
                <w:sz w:val="20"/>
                <w:szCs w:val="20"/>
              </w:rPr>
              <w:t>289</w:t>
            </w:r>
          </w:p>
        </w:tc>
        <w:tc>
          <w:tcPr>
            <w:tcW w:w="1063" w:type="dxa"/>
            <w:vAlign w:val="center"/>
          </w:tcPr>
          <w:p w:rsidR="00C911C2" w:rsidRPr="003B6E67" w:rsidRDefault="00C911C2" w:rsidP="00283C66">
            <w:pPr>
              <w:jc w:val="center"/>
              <w:rPr>
                <w:sz w:val="20"/>
                <w:szCs w:val="20"/>
              </w:rPr>
            </w:pPr>
            <w:r w:rsidRPr="003B6E67">
              <w:rPr>
                <w:sz w:val="20"/>
                <w:szCs w:val="20"/>
              </w:rPr>
              <w:t>304</w:t>
            </w:r>
          </w:p>
        </w:tc>
        <w:tc>
          <w:tcPr>
            <w:tcW w:w="1063" w:type="dxa"/>
            <w:vAlign w:val="center"/>
          </w:tcPr>
          <w:p w:rsidR="00C911C2" w:rsidRPr="003B6E67" w:rsidRDefault="00C911C2" w:rsidP="00283C66">
            <w:pPr>
              <w:jc w:val="center"/>
              <w:rPr>
                <w:sz w:val="20"/>
                <w:szCs w:val="20"/>
              </w:rPr>
            </w:pPr>
            <w:r w:rsidRPr="003B6E67">
              <w:rPr>
                <w:sz w:val="20"/>
                <w:szCs w:val="20"/>
              </w:rPr>
              <w:t>215</w:t>
            </w:r>
          </w:p>
        </w:tc>
        <w:tc>
          <w:tcPr>
            <w:tcW w:w="1063" w:type="dxa"/>
            <w:vAlign w:val="center"/>
          </w:tcPr>
          <w:p w:rsidR="00C911C2" w:rsidRPr="003B6E67" w:rsidRDefault="00C911C2" w:rsidP="00283C66">
            <w:pPr>
              <w:jc w:val="center"/>
              <w:rPr>
                <w:sz w:val="20"/>
                <w:szCs w:val="20"/>
              </w:rPr>
            </w:pPr>
            <w:r w:rsidRPr="003B6E67">
              <w:rPr>
                <w:sz w:val="20"/>
                <w:szCs w:val="20"/>
              </w:rPr>
              <w:t>288</w:t>
            </w:r>
          </w:p>
        </w:tc>
        <w:tc>
          <w:tcPr>
            <w:tcW w:w="1064" w:type="dxa"/>
            <w:vAlign w:val="center"/>
          </w:tcPr>
          <w:p w:rsidR="00C911C2" w:rsidRPr="003B6E67" w:rsidRDefault="00C911C2" w:rsidP="00283C66">
            <w:pPr>
              <w:jc w:val="center"/>
              <w:rPr>
                <w:sz w:val="20"/>
                <w:szCs w:val="20"/>
              </w:rPr>
            </w:pPr>
            <w:r w:rsidRPr="003B6E67">
              <w:rPr>
                <w:sz w:val="20"/>
                <w:szCs w:val="20"/>
              </w:rPr>
              <w:t>181</w:t>
            </w:r>
          </w:p>
        </w:tc>
        <w:tc>
          <w:tcPr>
            <w:tcW w:w="1064" w:type="dxa"/>
            <w:vAlign w:val="center"/>
          </w:tcPr>
          <w:p w:rsidR="00C911C2" w:rsidRPr="003B6E67" w:rsidRDefault="00C911C2" w:rsidP="00283C66">
            <w:pPr>
              <w:jc w:val="center"/>
              <w:rPr>
                <w:sz w:val="20"/>
                <w:szCs w:val="20"/>
              </w:rPr>
            </w:pPr>
            <w:r w:rsidRPr="003B6E67">
              <w:rPr>
                <w:sz w:val="20"/>
                <w:szCs w:val="20"/>
              </w:rPr>
              <w:t>265</w:t>
            </w:r>
          </w:p>
        </w:tc>
        <w:tc>
          <w:tcPr>
            <w:tcW w:w="1064" w:type="dxa"/>
            <w:vAlign w:val="center"/>
          </w:tcPr>
          <w:p w:rsidR="00C911C2" w:rsidRPr="003B6E67" w:rsidRDefault="00C911C2" w:rsidP="00283C66">
            <w:pPr>
              <w:jc w:val="center"/>
              <w:rPr>
                <w:sz w:val="20"/>
                <w:szCs w:val="20"/>
              </w:rPr>
            </w:pPr>
            <w:r w:rsidRPr="003B6E67">
              <w:rPr>
                <w:sz w:val="20"/>
                <w:szCs w:val="20"/>
              </w:rPr>
              <w:t>94,3</w:t>
            </w:r>
          </w:p>
        </w:tc>
        <w:tc>
          <w:tcPr>
            <w:tcW w:w="1064" w:type="dxa"/>
            <w:vAlign w:val="center"/>
          </w:tcPr>
          <w:p w:rsidR="00C911C2" w:rsidRPr="003B6E67" w:rsidRDefault="00C911C2" w:rsidP="00283C66">
            <w:pPr>
              <w:jc w:val="center"/>
              <w:rPr>
                <w:sz w:val="20"/>
                <w:szCs w:val="20"/>
              </w:rPr>
            </w:pPr>
            <w:r w:rsidRPr="003B6E67">
              <w:rPr>
                <w:sz w:val="20"/>
                <w:szCs w:val="20"/>
              </w:rPr>
              <w:t>0,36</w:t>
            </w:r>
          </w:p>
        </w:tc>
      </w:tr>
      <w:tr w:rsidR="00C911C2" w:rsidRPr="00F15CE9" w:rsidTr="003E660E">
        <w:tc>
          <w:tcPr>
            <w:tcW w:w="1063" w:type="dxa"/>
            <w:vAlign w:val="center"/>
          </w:tcPr>
          <w:p w:rsidR="00C911C2" w:rsidRPr="003B6E67" w:rsidRDefault="00C911C2" w:rsidP="00283C66">
            <w:pPr>
              <w:jc w:val="center"/>
              <w:rPr>
                <w:sz w:val="20"/>
                <w:szCs w:val="20"/>
              </w:rPr>
            </w:pPr>
            <w:r w:rsidRPr="003B6E67">
              <w:rPr>
                <w:sz w:val="20"/>
                <w:szCs w:val="20"/>
              </w:rPr>
              <w:t>Аварии в электроэнергетическом комплексе</w:t>
            </w:r>
          </w:p>
        </w:tc>
        <w:tc>
          <w:tcPr>
            <w:tcW w:w="1063" w:type="dxa"/>
            <w:vAlign w:val="center"/>
          </w:tcPr>
          <w:p w:rsidR="00C911C2" w:rsidRPr="003B6E67" w:rsidRDefault="00C911C2" w:rsidP="00283C66">
            <w:pPr>
              <w:jc w:val="center"/>
              <w:rPr>
                <w:sz w:val="20"/>
                <w:szCs w:val="20"/>
              </w:rPr>
            </w:pPr>
          </w:p>
        </w:tc>
        <w:tc>
          <w:tcPr>
            <w:tcW w:w="1063" w:type="dxa"/>
            <w:vAlign w:val="center"/>
          </w:tcPr>
          <w:p w:rsidR="00C911C2" w:rsidRPr="003B6E67" w:rsidRDefault="00C911C2" w:rsidP="00283C66">
            <w:pPr>
              <w:jc w:val="center"/>
              <w:rPr>
                <w:sz w:val="20"/>
                <w:szCs w:val="20"/>
              </w:rPr>
            </w:pPr>
          </w:p>
        </w:tc>
        <w:tc>
          <w:tcPr>
            <w:tcW w:w="1063" w:type="dxa"/>
            <w:vAlign w:val="center"/>
          </w:tcPr>
          <w:p w:rsidR="00C911C2" w:rsidRPr="003B6E67" w:rsidRDefault="00C911C2" w:rsidP="00283C66">
            <w:pPr>
              <w:jc w:val="center"/>
              <w:rPr>
                <w:sz w:val="20"/>
                <w:szCs w:val="20"/>
              </w:rPr>
            </w:pPr>
            <w:r w:rsidRPr="003B6E67">
              <w:rPr>
                <w:sz w:val="20"/>
                <w:szCs w:val="20"/>
              </w:rPr>
              <w:t>25</w:t>
            </w:r>
          </w:p>
        </w:tc>
        <w:tc>
          <w:tcPr>
            <w:tcW w:w="1063" w:type="dxa"/>
            <w:vAlign w:val="center"/>
          </w:tcPr>
          <w:p w:rsidR="00C911C2" w:rsidRPr="003B6E67" w:rsidRDefault="00C911C2" w:rsidP="00283C66">
            <w:pPr>
              <w:jc w:val="center"/>
              <w:rPr>
                <w:sz w:val="20"/>
                <w:szCs w:val="20"/>
              </w:rPr>
            </w:pPr>
            <w:r w:rsidRPr="003B6E67">
              <w:rPr>
                <w:sz w:val="20"/>
                <w:szCs w:val="20"/>
              </w:rPr>
              <w:t>22</w:t>
            </w:r>
          </w:p>
        </w:tc>
        <w:tc>
          <w:tcPr>
            <w:tcW w:w="1064" w:type="dxa"/>
            <w:vAlign w:val="center"/>
          </w:tcPr>
          <w:p w:rsidR="00C911C2" w:rsidRPr="003B6E67" w:rsidRDefault="00C911C2" w:rsidP="00283C66">
            <w:pPr>
              <w:jc w:val="center"/>
              <w:rPr>
                <w:sz w:val="20"/>
                <w:szCs w:val="20"/>
              </w:rPr>
            </w:pPr>
            <w:r w:rsidRPr="003B6E67">
              <w:rPr>
                <w:sz w:val="20"/>
                <w:szCs w:val="20"/>
              </w:rPr>
              <w:t>21</w:t>
            </w:r>
          </w:p>
        </w:tc>
        <w:tc>
          <w:tcPr>
            <w:tcW w:w="1064" w:type="dxa"/>
            <w:vAlign w:val="center"/>
          </w:tcPr>
          <w:p w:rsidR="00C911C2" w:rsidRPr="003B6E67" w:rsidRDefault="00C911C2" w:rsidP="00283C66">
            <w:pPr>
              <w:jc w:val="center"/>
              <w:rPr>
                <w:sz w:val="20"/>
                <w:szCs w:val="20"/>
              </w:rPr>
            </w:pPr>
            <w:r w:rsidRPr="003B6E67">
              <w:rPr>
                <w:sz w:val="20"/>
                <w:szCs w:val="20"/>
              </w:rPr>
              <w:t>22,6</w:t>
            </w:r>
          </w:p>
        </w:tc>
        <w:tc>
          <w:tcPr>
            <w:tcW w:w="1064" w:type="dxa"/>
            <w:vAlign w:val="center"/>
          </w:tcPr>
          <w:p w:rsidR="00C911C2" w:rsidRPr="003B6E67" w:rsidRDefault="00C911C2" w:rsidP="00283C66">
            <w:pPr>
              <w:jc w:val="center"/>
              <w:rPr>
                <w:sz w:val="20"/>
                <w:szCs w:val="20"/>
              </w:rPr>
            </w:pPr>
            <w:r w:rsidRPr="003B6E67">
              <w:rPr>
                <w:sz w:val="20"/>
                <w:szCs w:val="20"/>
              </w:rPr>
              <w:t>2,04</w:t>
            </w:r>
          </w:p>
        </w:tc>
        <w:tc>
          <w:tcPr>
            <w:tcW w:w="1064" w:type="dxa"/>
            <w:vAlign w:val="center"/>
          </w:tcPr>
          <w:p w:rsidR="00C911C2" w:rsidRPr="003B6E67" w:rsidRDefault="00C911C2" w:rsidP="00283C66">
            <w:pPr>
              <w:jc w:val="center"/>
              <w:rPr>
                <w:sz w:val="20"/>
                <w:szCs w:val="20"/>
              </w:rPr>
            </w:pPr>
            <w:r w:rsidRPr="003B6E67">
              <w:rPr>
                <w:sz w:val="20"/>
                <w:szCs w:val="20"/>
              </w:rPr>
              <w:t>0,09</w:t>
            </w:r>
          </w:p>
        </w:tc>
      </w:tr>
      <w:tr w:rsidR="00C911C2" w:rsidRPr="00F15CE9" w:rsidTr="003E660E">
        <w:tc>
          <w:tcPr>
            <w:tcW w:w="1063" w:type="dxa"/>
            <w:vAlign w:val="center"/>
          </w:tcPr>
          <w:p w:rsidR="00C911C2" w:rsidRPr="003B6E67" w:rsidRDefault="00C911C2" w:rsidP="00283C66">
            <w:pPr>
              <w:jc w:val="center"/>
              <w:rPr>
                <w:sz w:val="20"/>
                <w:szCs w:val="20"/>
              </w:rPr>
            </w:pPr>
            <w:r w:rsidRPr="003B6E67">
              <w:rPr>
                <w:sz w:val="20"/>
                <w:szCs w:val="20"/>
              </w:rPr>
              <w:t>Аварии в системе ЖКХ</w:t>
            </w:r>
          </w:p>
        </w:tc>
        <w:tc>
          <w:tcPr>
            <w:tcW w:w="1063" w:type="dxa"/>
            <w:vAlign w:val="center"/>
          </w:tcPr>
          <w:p w:rsidR="00C911C2" w:rsidRPr="003B6E67" w:rsidRDefault="00C911C2" w:rsidP="00283C66">
            <w:pPr>
              <w:jc w:val="center"/>
              <w:rPr>
                <w:sz w:val="20"/>
                <w:szCs w:val="20"/>
              </w:rPr>
            </w:pPr>
            <w:r w:rsidRPr="003B6E67">
              <w:rPr>
                <w:sz w:val="20"/>
                <w:szCs w:val="20"/>
              </w:rPr>
              <w:t>68</w:t>
            </w:r>
          </w:p>
        </w:tc>
        <w:tc>
          <w:tcPr>
            <w:tcW w:w="1063" w:type="dxa"/>
            <w:vAlign w:val="center"/>
          </w:tcPr>
          <w:p w:rsidR="00C911C2" w:rsidRPr="003B6E67" w:rsidRDefault="00C911C2" w:rsidP="00283C66">
            <w:pPr>
              <w:jc w:val="center"/>
              <w:rPr>
                <w:sz w:val="20"/>
                <w:szCs w:val="20"/>
              </w:rPr>
            </w:pPr>
            <w:r w:rsidRPr="003B6E67">
              <w:rPr>
                <w:sz w:val="20"/>
                <w:szCs w:val="20"/>
              </w:rPr>
              <w:t>114</w:t>
            </w:r>
          </w:p>
        </w:tc>
        <w:tc>
          <w:tcPr>
            <w:tcW w:w="1063" w:type="dxa"/>
            <w:vAlign w:val="center"/>
          </w:tcPr>
          <w:p w:rsidR="00C911C2" w:rsidRPr="003B6E67" w:rsidRDefault="00C911C2" w:rsidP="00283C66">
            <w:pPr>
              <w:jc w:val="center"/>
              <w:rPr>
                <w:sz w:val="20"/>
                <w:szCs w:val="20"/>
              </w:rPr>
            </w:pPr>
            <w:r w:rsidRPr="003B6E67">
              <w:rPr>
                <w:sz w:val="20"/>
                <w:szCs w:val="20"/>
              </w:rPr>
              <w:t>120</w:t>
            </w:r>
          </w:p>
        </w:tc>
        <w:tc>
          <w:tcPr>
            <w:tcW w:w="1063" w:type="dxa"/>
            <w:vAlign w:val="center"/>
          </w:tcPr>
          <w:p w:rsidR="00C911C2" w:rsidRPr="003B6E67" w:rsidRDefault="00C911C2" w:rsidP="00283C66">
            <w:pPr>
              <w:jc w:val="center"/>
              <w:rPr>
                <w:sz w:val="20"/>
                <w:szCs w:val="20"/>
              </w:rPr>
            </w:pPr>
            <w:r w:rsidRPr="003B6E67">
              <w:rPr>
                <w:sz w:val="20"/>
                <w:szCs w:val="20"/>
              </w:rPr>
              <w:t>29</w:t>
            </w:r>
          </w:p>
        </w:tc>
        <w:tc>
          <w:tcPr>
            <w:tcW w:w="1064" w:type="dxa"/>
            <w:vAlign w:val="center"/>
          </w:tcPr>
          <w:p w:rsidR="00C911C2" w:rsidRPr="003B6E67" w:rsidRDefault="00C911C2" w:rsidP="00283C66">
            <w:pPr>
              <w:jc w:val="center"/>
              <w:rPr>
                <w:sz w:val="20"/>
                <w:szCs w:val="20"/>
              </w:rPr>
            </w:pPr>
            <w:r w:rsidRPr="003B6E67">
              <w:rPr>
                <w:sz w:val="20"/>
                <w:szCs w:val="20"/>
              </w:rPr>
              <w:t>24</w:t>
            </w:r>
          </w:p>
        </w:tc>
        <w:tc>
          <w:tcPr>
            <w:tcW w:w="1064" w:type="dxa"/>
            <w:vAlign w:val="center"/>
          </w:tcPr>
          <w:p w:rsidR="00C911C2" w:rsidRPr="003B6E67" w:rsidRDefault="00C911C2" w:rsidP="00283C66">
            <w:pPr>
              <w:jc w:val="center"/>
              <w:rPr>
                <w:sz w:val="20"/>
                <w:szCs w:val="20"/>
              </w:rPr>
            </w:pPr>
            <w:r w:rsidRPr="003B6E67">
              <w:rPr>
                <w:sz w:val="20"/>
                <w:szCs w:val="20"/>
              </w:rPr>
              <w:t>71</w:t>
            </w:r>
          </w:p>
        </w:tc>
        <w:tc>
          <w:tcPr>
            <w:tcW w:w="1064" w:type="dxa"/>
            <w:vAlign w:val="center"/>
          </w:tcPr>
          <w:p w:rsidR="00C911C2" w:rsidRPr="003B6E67" w:rsidRDefault="00C911C2" w:rsidP="00283C66">
            <w:pPr>
              <w:jc w:val="center"/>
              <w:rPr>
                <w:sz w:val="20"/>
                <w:szCs w:val="20"/>
              </w:rPr>
            </w:pPr>
            <w:r w:rsidRPr="003B6E67">
              <w:rPr>
                <w:sz w:val="20"/>
                <w:szCs w:val="20"/>
              </w:rPr>
              <w:t>52,5</w:t>
            </w:r>
          </w:p>
        </w:tc>
        <w:tc>
          <w:tcPr>
            <w:tcW w:w="1064" w:type="dxa"/>
            <w:vAlign w:val="center"/>
          </w:tcPr>
          <w:p w:rsidR="00C911C2" w:rsidRPr="003B6E67" w:rsidRDefault="00C911C2" w:rsidP="00283C66">
            <w:pPr>
              <w:jc w:val="center"/>
              <w:rPr>
                <w:sz w:val="20"/>
                <w:szCs w:val="20"/>
              </w:rPr>
            </w:pPr>
            <w:r w:rsidRPr="003B6E67">
              <w:rPr>
                <w:sz w:val="20"/>
                <w:szCs w:val="20"/>
              </w:rPr>
              <w:t>0,74</w:t>
            </w:r>
          </w:p>
        </w:tc>
      </w:tr>
    </w:tbl>
    <w:p w:rsidR="00C911C2" w:rsidRPr="00F15CE9" w:rsidRDefault="00C911C2" w:rsidP="00283C66">
      <w:pPr>
        <w:jc w:val="both"/>
      </w:pPr>
    </w:p>
    <w:p w:rsidR="00C911C2" w:rsidRPr="00F15CE9" w:rsidRDefault="00C911C2" w:rsidP="00283C66">
      <w:pPr>
        <w:ind w:firstLine="709"/>
        <w:jc w:val="both"/>
      </w:pPr>
      <w:r w:rsidRPr="00F15CE9">
        <w:t>Эффективность эксплуатации электроустановок должна определяться в первую очередь обеспечением надежности и безопасности при возможности увеличения остаточного ресурса при приемлемых затратах на техническое обслуживание и ремонт. Такая задача решается методами повышения надежности технических систем, инструментальными средствами диагностики и путем прогнозирования остаточного ресурса [2].</w:t>
      </w:r>
    </w:p>
    <w:p w:rsidR="00C911C2" w:rsidRDefault="00C911C2" w:rsidP="00283C66">
      <w:pPr>
        <w:ind w:firstLine="720"/>
        <w:jc w:val="both"/>
      </w:pPr>
      <w:r w:rsidRPr="00F15CE9">
        <w:t xml:space="preserve">В соответствии с [3] на рис. 1 приведена блок-схема оценки и прогнозирования остаточного ресурса электроустановки (или ее элемента – электропроводки). Обследование объекта предполагает сбор статистической информации об авариях и отказах и о физическом состоянии электроустановки, определение диагностических параметров, характеризующих техническое состояние (ТС) объекта. Здесь техногенную безопасность (или опасность) будем рассматривать как результат взаимодействия компонентов системы (Ч – ЭУ – С). Под «человеком» - (Ч) условимся понимать </w:t>
      </w:r>
      <w:r w:rsidRPr="00F15CE9">
        <w:lastRenderedPageBreak/>
        <w:t>электротехнический персонал в условиях производства, или население, обслуживающее бытовые электроустановки. «Электроустановка» - (ЭУ), связанная с технологическими процессами передачи, распределения и потребления электроэнергии, рассматривается как источник опасностей. «Среда» - (С) (внутренняя) является пространством, в котором непосредственно находится система (Ч – ЭУ – С), и «внешняя» - то, что не входит в нее, но может влиять на ее функционирование. Опасность будем интерпретировать как возможность системы причинения какого-либо ущерба (материального, социального, экологического).</w:t>
      </w:r>
    </w:p>
    <w:p w:rsidR="00F442C9" w:rsidRDefault="00F442C9" w:rsidP="00283C66">
      <w:pPr>
        <w:ind w:firstLine="720"/>
        <w:jc w:val="both"/>
      </w:pPr>
    </w:p>
    <w:p w:rsidR="00F442C9" w:rsidRDefault="00F442C9" w:rsidP="00F442C9">
      <w:pPr>
        <w:ind w:firstLine="720"/>
        <w:jc w:val="center"/>
      </w:pPr>
      <w:r w:rsidRPr="00F442C9">
        <w:rPr>
          <w:noProof/>
        </w:rPr>
        <w:drawing>
          <wp:inline distT="0" distB="0" distL="0" distR="0">
            <wp:extent cx="1855470" cy="249513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1270"/>
                    <a:stretch>
                      <a:fillRect/>
                    </a:stretch>
                  </pic:blipFill>
                  <pic:spPr bwMode="auto">
                    <a:xfrm>
                      <a:off x="0" y="0"/>
                      <a:ext cx="1855953" cy="2495780"/>
                    </a:xfrm>
                    <a:prstGeom prst="rect">
                      <a:avLst/>
                    </a:prstGeom>
                    <a:noFill/>
                    <a:ln w="9525">
                      <a:noFill/>
                      <a:miter lim="800000"/>
                      <a:headEnd/>
                      <a:tailEnd/>
                    </a:ln>
                  </pic:spPr>
                </pic:pic>
              </a:graphicData>
            </a:graphic>
          </wp:inline>
        </w:drawing>
      </w:r>
    </w:p>
    <w:p w:rsidR="00F442C9" w:rsidRDefault="00F442C9" w:rsidP="00F442C9">
      <w:pPr>
        <w:ind w:firstLine="720"/>
        <w:jc w:val="center"/>
      </w:pPr>
    </w:p>
    <w:p w:rsidR="00F442C9" w:rsidRPr="00F442C9" w:rsidRDefault="00F442C9" w:rsidP="00F442C9">
      <w:pPr>
        <w:spacing w:line="360" w:lineRule="auto"/>
        <w:jc w:val="center"/>
        <w:rPr>
          <w:sz w:val="22"/>
          <w:szCs w:val="22"/>
        </w:rPr>
      </w:pPr>
      <w:r w:rsidRPr="00F442C9">
        <w:rPr>
          <w:sz w:val="22"/>
          <w:szCs w:val="22"/>
        </w:rPr>
        <w:t>Рисунок 1 – Блок-схема оценки и прогнозирования остаточного ресурса</w:t>
      </w:r>
    </w:p>
    <w:p w:rsidR="00C911C2" w:rsidRDefault="00C911C2" w:rsidP="00283C66">
      <w:pPr>
        <w:ind w:firstLine="720"/>
        <w:jc w:val="both"/>
      </w:pPr>
      <w:r w:rsidRPr="00F15CE9">
        <w:t xml:space="preserve">Математическое моделирование системы должно быть построено на принципах описания физических процессов старения и </w:t>
      </w:r>
      <w:proofErr w:type="gramStart"/>
      <w:r w:rsidRPr="00F15CE9">
        <w:t>деградации</w:t>
      </w:r>
      <w:proofErr w:type="gramEnd"/>
      <w:r w:rsidRPr="00F15CE9">
        <w:t xml:space="preserve"> проводящих и изолирующих частей электропроводки с последующим составлением статистических временных рядов, учитывающих результаты наблюдения за техническим состоянием электропроводки на основе периодического измерения диагностических параметров. Полученная таким образом математическая модель позволяет прогнозировать момент наступления многопараметрического отказа электропроводки, что дает возможность на ранних стадиях предвидеть возникновение </w:t>
      </w:r>
      <w:proofErr w:type="spellStart"/>
      <w:r w:rsidRPr="00F15CE9">
        <w:t>электропоражения</w:t>
      </w:r>
      <w:proofErr w:type="spellEnd"/>
      <w:r w:rsidRPr="00F15CE9">
        <w:t xml:space="preserve"> или пожара и обеспечить своевременное принятие мер по недопущению опасных техногенных ситуаций. Отметим, что в настоящее время техническое состояние электроустановки оценивается путем расчета вероятностных характеристик надежности, представляющих собой точечные статистические оценки (наработка на отказ, вероятность безотказной работы и др.). По этим данным строится некая усредненная модель процесса деградации и отказа. Такая модель не позволяет оценить ресурс и прогнозировать развитие неисправностей при изменяющихся условиях среды. Наблюдающийся в таком случае неизбежный разброс параметров надежности искажает оценку и прогноз остаточного ресурса, что может привести с одной стороны к </w:t>
      </w:r>
      <w:proofErr w:type="spellStart"/>
      <w:r w:rsidRPr="00F15CE9">
        <w:t>невыявленным</w:t>
      </w:r>
      <w:proofErr w:type="spellEnd"/>
      <w:r w:rsidRPr="00F15CE9">
        <w:t xml:space="preserve"> опасностям, с другой – неоправданным затратам на техническое обслуживание.</w:t>
      </w:r>
    </w:p>
    <w:p w:rsidR="006402D8" w:rsidRPr="00F15CE9" w:rsidRDefault="006402D8" w:rsidP="006402D8">
      <w:pPr>
        <w:ind w:firstLine="720"/>
        <w:jc w:val="both"/>
      </w:pPr>
      <w:r w:rsidRPr="00F15CE9">
        <w:t xml:space="preserve">Остаточный ресурс электропроводки может быть определен на основе упрощенных методов прогнозирования, когда имеется некоторый объем информации по основным диагностирующим параметрам за период эксплуатации </w:t>
      </w:r>
      <w:r w:rsidRPr="00F15CE9">
        <w:rPr>
          <w:lang w:val="en-US"/>
        </w:rPr>
        <w:t>t</w:t>
      </w:r>
      <w:r w:rsidRPr="00F15CE9">
        <w:t xml:space="preserve">. </w:t>
      </w:r>
      <w:proofErr w:type="gramStart"/>
      <w:r w:rsidRPr="00F15CE9">
        <w:t xml:space="preserve">Вид функции </w:t>
      </w:r>
      <w:r w:rsidRPr="00F15CE9">
        <w:rPr>
          <w:lang w:val="en-US"/>
        </w:rPr>
        <w:t>F</w:t>
      </w:r>
      <w:r w:rsidRPr="00F15CE9">
        <w:t>(</w:t>
      </w:r>
      <w:r w:rsidRPr="00F15CE9">
        <w:rPr>
          <w:lang w:val="en-US"/>
        </w:rPr>
        <w:t>t</w:t>
      </w:r>
      <w:r w:rsidRPr="00F15CE9">
        <w:t>), характеризующий остаточный ресурс, зависит от многих факторов, важнейшими из которых является механизм и характер разрушения (электрический, тепловой, динамический, коррозия, абсорбция, поляризация, сплошной, локальный).</w:t>
      </w:r>
      <w:proofErr w:type="gramEnd"/>
      <w:r w:rsidRPr="00F15CE9">
        <w:t xml:space="preserve"> При этом часть из этих факторов можно отнести к </w:t>
      </w:r>
      <w:proofErr w:type="gramStart"/>
      <w:r w:rsidRPr="00F15CE9">
        <w:t>детерминистическим</w:t>
      </w:r>
      <w:proofErr w:type="gramEnd"/>
      <w:r w:rsidRPr="00F15CE9">
        <w:t xml:space="preserve">, физическая природа которых известна, например, </w:t>
      </w:r>
      <w:proofErr w:type="spellStart"/>
      <w:r w:rsidRPr="00F15CE9">
        <w:t>деградационные</w:t>
      </w:r>
      <w:proofErr w:type="spellEnd"/>
      <w:r w:rsidRPr="00F15CE9">
        <w:t xml:space="preserve"> процессы в контактных соединениях </w:t>
      </w:r>
      <w:r w:rsidRPr="00F15CE9">
        <w:lastRenderedPageBreak/>
        <w:t xml:space="preserve">электрических сетей подчиняются второму закону </w:t>
      </w:r>
      <w:proofErr w:type="spellStart"/>
      <w:r w:rsidRPr="00F15CE9">
        <w:t>Фика</w:t>
      </w:r>
      <w:proofErr w:type="spellEnd"/>
      <w:r w:rsidRPr="00F15CE9">
        <w:t xml:space="preserve"> и описываются известными дифференциальными уравнениями [4]. Другая часть факторов или параметров являются случайными, например, характеризующая среду, и они подчиняются</w:t>
      </w:r>
      <w:r w:rsidRPr="006402D8">
        <w:t xml:space="preserve"> </w:t>
      </w:r>
      <w:r w:rsidRPr="00F15CE9">
        <w:t xml:space="preserve">статистическим распределениям и оценкам. Имеются также факторы, которые не поддаются учету и количественной оценки, т.е. отсутствуют достоверные статистические данные о диагностирующих параметрах электропроводки, микроклимате, обслуживающем персонале. В этом случае может быть использован подход, который предполагает неопределенность исходных данных интерпретировать как некую информацию в виде нечеткого множества [5]. Такая процедура сводится к замене точечных оценок вероятностей конкретных промежуточных событий (предпосылок), формирующих главное событие (аварию, </w:t>
      </w:r>
      <w:proofErr w:type="spellStart"/>
      <w:r w:rsidRPr="00F15CE9">
        <w:t>электропоражение</w:t>
      </w:r>
      <w:proofErr w:type="spellEnd"/>
      <w:r w:rsidRPr="00F15CE9">
        <w:t xml:space="preserve"> и др.), их интервальными оценками, выраженными в форме нечетких чисел.</w:t>
      </w:r>
    </w:p>
    <w:p w:rsidR="00F442C9" w:rsidRPr="00F15CE9" w:rsidRDefault="00F442C9" w:rsidP="00F442C9">
      <w:pPr>
        <w:ind w:firstLine="720"/>
        <w:jc w:val="both"/>
      </w:pPr>
      <w:r w:rsidRPr="00F15CE9">
        <w:t xml:space="preserve">Представим кинетическую модель </w:t>
      </w:r>
      <w:r w:rsidRPr="00F15CE9">
        <w:rPr>
          <w:lang w:val="en-US"/>
        </w:rPr>
        <w:t>F</w:t>
      </w:r>
      <w:r w:rsidRPr="00F15CE9">
        <w:t>(</w:t>
      </w:r>
      <w:r w:rsidRPr="00F15CE9">
        <w:rPr>
          <w:lang w:val="en-US"/>
        </w:rPr>
        <w:t>t</w:t>
      </w:r>
      <w:r w:rsidRPr="00F15CE9">
        <w:t>) старения и разрушения электропроводки производственного объекта в зависимости от времени эксплуатации (рис. 2).</w:t>
      </w:r>
      <w:r w:rsidRPr="006402D8">
        <w:t xml:space="preserve"> </w:t>
      </w:r>
      <w:r w:rsidRPr="00F15CE9">
        <w:t xml:space="preserve">Выделим здесь три характерных периода. В первом начальном периоде эксплуатации (период приработки) функция </w:t>
      </w:r>
      <w:r w:rsidRPr="00F15CE9">
        <w:rPr>
          <w:lang w:val="en-US"/>
        </w:rPr>
        <w:t>F</w:t>
      </w:r>
      <w:r w:rsidRPr="00F15CE9">
        <w:t>(</w:t>
      </w:r>
      <w:r w:rsidRPr="00F15CE9">
        <w:rPr>
          <w:lang w:val="en-US"/>
        </w:rPr>
        <w:t>t</w:t>
      </w:r>
      <w:r w:rsidRPr="00F15CE9">
        <w:t>) возрастает монотонно по экспоненте.</w:t>
      </w:r>
      <w:r w:rsidRPr="00F442C9">
        <w:t xml:space="preserve"> </w:t>
      </w:r>
      <w:r w:rsidRPr="00F15CE9">
        <w:t xml:space="preserve">При этом в конце периода происходит замедление роста и наступает второй период, когда функция </w:t>
      </w:r>
      <w:r w:rsidRPr="00F15CE9">
        <w:rPr>
          <w:lang w:val="en-US"/>
        </w:rPr>
        <w:t>F</w:t>
      </w:r>
      <w:r w:rsidRPr="00F15CE9">
        <w:t>(</w:t>
      </w:r>
      <w:r w:rsidRPr="00F15CE9">
        <w:rPr>
          <w:lang w:val="en-US"/>
        </w:rPr>
        <w:t>t</w:t>
      </w:r>
      <w:r w:rsidRPr="00F15CE9">
        <w:t>) становится почти линейной – наблюдается стабильная интенсивность старения электропроводки с постоянной скоростью. В третьем периоде по мере накопления повреждений скорость разрушения начинает увеличиваться и возрастает до полного разрушения (выход из строя, отказ).</w:t>
      </w:r>
    </w:p>
    <w:p w:rsidR="00F442C9" w:rsidRPr="00F15CE9" w:rsidRDefault="00F442C9" w:rsidP="00283C66">
      <w:pPr>
        <w:ind w:firstLine="720"/>
        <w:jc w:val="both"/>
      </w:pPr>
    </w:p>
    <w:p w:rsidR="00C911C2" w:rsidRPr="00F15CE9" w:rsidRDefault="00C911C2" w:rsidP="00C911C2">
      <w:pPr>
        <w:spacing w:line="360" w:lineRule="auto"/>
        <w:jc w:val="center"/>
      </w:pPr>
      <w:r w:rsidRPr="00F15CE9">
        <w:rPr>
          <w:noProof/>
        </w:rPr>
        <w:drawing>
          <wp:inline distT="0" distB="0" distL="0" distR="0">
            <wp:extent cx="1814830" cy="1444963"/>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15235" cy="1445286"/>
                    </a:xfrm>
                    <a:prstGeom prst="rect">
                      <a:avLst/>
                    </a:prstGeom>
                    <a:noFill/>
                    <a:ln w="9525">
                      <a:noFill/>
                      <a:miter lim="800000"/>
                      <a:headEnd/>
                      <a:tailEnd/>
                    </a:ln>
                  </pic:spPr>
                </pic:pic>
              </a:graphicData>
            </a:graphic>
          </wp:inline>
        </w:drawing>
      </w:r>
    </w:p>
    <w:p w:rsidR="00C911C2" w:rsidRPr="00F442C9" w:rsidRDefault="00C911C2" w:rsidP="00283C66">
      <w:pPr>
        <w:jc w:val="center"/>
        <w:rPr>
          <w:sz w:val="22"/>
          <w:szCs w:val="22"/>
        </w:rPr>
      </w:pPr>
      <w:r w:rsidRPr="00F442C9">
        <w:rPr>
          <w:sz w:val="22"/>
          <w:szCs w:val="22"/>
        </w:rPr>
        <w:t xml:space="preserve">Рисунок 2 – Кинетическая модель </w:t>
      </w:r>
      <w:r w:rsidRPr="00F442C9">
        <w:rPr>
          <w:sz w:val="22"/>
          <w:szCs w:val="22"/>
          <w:lang w:val="en-US"/>
        </w:rPr>
        <w:t>F</w:t>
      </w:r>
      <w:r w:rsidRPr="00F442C9">
        <w:rPr>
          <w:sz w:val="22"/>
          <w:szCs w:val="22"/>
        </w:rPr>
        <w:t>(</w:t>
      </w:r>
      <w:r w:rsidRPr="00F442C9">
        <w:rPr>
          <w:sz w:val="22"/>
          <w:szCs w:val="22"/>
          <w:lang w:val="en-US"/>
        </w:rPr>
        <w:t>t</w:t>
      </w:r>
      <w:r w:rsidRPr="00F442C9">
        <w:rPr>
          <w:sz w:val="22"/>
          <w:szCs w:val="22"/>
        </w:rPr>
        <w:t>) старения и разрушения электропроводки</w:t>
      </w:r>
    </w:p>
    <w:p w:rsidR="00C911C2" w:rsidRPr="00F15CE9" w:rsidRDefault="00C911C2" w:rsidP="00C911C2">
      <w:pPr>
        <w:spacing w:line="276" w:lineRule="auto"/>
        <w:ind w:firstLine="709"/>
        <w:jc w:val="both"/>
      </w:pPr>
    </w:p>
    <w:p w:rsidR="00C911C2" w:rsidRPr="00F15CE9" w:rsidRDefault="00C911C2" w:rsidP="00283C66">
      <w:pPr>
        <w:ind w:firstLine="720"/>
        <w:jc w:val="both"/>
      </w:pPr>
      <w:r w:rsidRPr="00F15CE9">
        <w:t>Относительная продолжительность этого периода в зависимости от условий эксплуатации при разных видах разрушений может быть различной. Так, при наличии агрессивной среды, повышенной влажности и колебания температуры (например, в животноводческих помещениях) процесс разрушения электропроводки является более интенсивным и первый период (так называемый инкубационный, когда происходит накопление повреждений) может перейти сразу в третий. При определенных условиях (в случае умеренных воздействий факторов внешней среды или наличия технического обслуживания электроустановок) третий период также может отсутствовать (электроустановка снимается с эксплуатации до возникновения ее критического состояния). Таким образом, прогнозирование остаточного ресурса электропроводки может осуществляться в области первого и второго периода, рассматривая их как квазилинейную функцию.</w:t>
      </w:r>
    </w:p>
    <w:p w:rsidR="00C911C2" w:rsidRPr="00F15CE9" w:rsidRDefault="00C911C2" w:rsidP="00283C66">
      <w:pPr>
        <w:ind w:firstLine="720"/>
        <w:jc w:val="both"/>
      </w:pPr>
      <w:r w:rsidRPr="00F15CE9">
        <w:t>Будем считать, что предельное состояние электропроводки определяется некоторыми численными значениями диагностических параметров, характеризующих токопроводящие и изоляционные ее свойства. В качестве диагностических параметров примем:</w:t>
      </w:r>
    </w:p>
    <w:p w:rsidR="00C911C2" w:rsidRPr="00F15CE9" w:rsidRDefault="00C911C2" w:rsidP="00283C66">
      <w:pPr>
        <w:ind w:firstLine="720"/>
        <w:jc w:val="both"/>
      </w:pPr>
      <w:r w:rsidRPr="00F15CE9">
        <w:t xml:space="preserve">для проводников – </w:t>
      </w:r>
    </w:p>
    <w:p w:rsidR="00C911C2" w:rsidRPr="00F15CE9" w:rsidRDefault="00C911C2" w:rsidP="00283C66">
      <w:pPr>
        <w:ind w:firstLine="720"/>
        <w:jc w:val="both"/>
      </w:pPr>
      <w:r w:rsidRPr="00F15CE9">
        <w:t xml:space="preserve"> - сопротивление целостности электрической цепи (</w:t>
      </w:r>
      <w:proofErr w:type="gramStart"/>
      <w:r w:rsidRPr="00F15CE9">
        <w:rPr>
          <w:lang w:val="en-US"/>
        </w:rPr>
        <w:t>R</w:t>
      </w:r>
      <w:proofErr w:type="gramEnd"/>
      <w:r w:rsidRPr="00F15CE9">
        <w:rPr>
          <w:vertAlign w:val="subscript"/>
        </w:rPr>
        <w:t>ц</w:t>
      </w:r>
      <w:r w:rsidRPr="00F15CE9">
        <w:t>);</w:t>
      </w:r>
    </w:p>
    <w:p w:rsidR="00C911C2" w:rsidRPr="00F15CE9" w:rsidRDefault="00C911C2" w:rsidP="00283C66">
      <w:pPr>
        <w:ind w:firstLine="720"/>
        <w:jc w:val="both"/>
      </w:pPr>
      <w:r w:rsidRPr="00F15CE9">
        <w:t xml:space="preserve"> - активное сопротивление контактного соединения (</w:t>
      </w:r>
      <w:proofErr w:type="gramStart"/>
      <w:r w:rsidRPr="00F15CE9">
        <w:rPr>
          <w:lang w:val="en-US"/>
        </w:rPr>
        <w:t>R</w:t>
      </w:r>
      <w:proofErr w:type="spellStart"/>
      <w:proofErr w:type="gramEnd"/>
      <w:r w:rsidRPr="00F15CE9">
        <w:rPr>
          <w:vertAlign w:val="subscript"/>
        </w:rPr>
        <w:t>конт</w:t>
      </w:r>
      <w:proofErr w:type="spellEnd"/>
      <w:r w:rsidRPr="00F15CE9">
        <w:t>);</w:t>
      </w:r>
    </w:p>
    <w:p w:rsidR="00C911C2" w:rsidRPr="00F15CE9" w:rsidRDefault="00C911C2" w:rsidP="00283C66">
      <w:pPr>
        <w:ind w:firstLine="720"/>
        <w:jc w:val="both"/>
      </w:pPr>
      <w:r w:rsidRPr="00F15CE9">
        <w:lastRenderedPageBreak/>
        <w:t xml:space="preserve"> - температура контактного (переходного) сопротивления (</w:t>
      </w:r>
      <w:r w:rsidRPr="00F15CE9">
        <w:rPr>
          <w:lang w:val="en-US"/>
        </w:rPr>
        <w:t>T</w:t>
      </w:r>
      <w:r w:rsidRPr="00F15CE9">
        <w:rPr>
          <w:vertAlign w:val="superscript"/>
        </w:rPr>
        <w:t>0</w:t>
      </w:r>
      <w:r w:rsidRPr="00F15CE9">
        <w:rPr>
          <w:vertAlign w:val="subscript"/>
        </w:rPr>
        <w:t>конт</w:t>
      </w:r>
      <w:r w:rsidRPr="00F15CE9">
        <w:t>).</w:t>
      </w:r>
    </w:p>
    <w:p w:rsidR="00C911C2" w:rsidRPr="00F15CE9" w:rsidRDefault="00C911C2" w:rsidP="00283C66">
      <w:pPr>
        <w:ind w:firstLine="720"/>
        <w:jc w:val="both"/>
      </w:pPr>
      <w:r w:rsidRPr="00F15CE9">
        <w:t xml:space="preserve">для изоляции – </w:t>
      </w:r>
    </w:p>
    <w:p w:rsidR="00C911C2" w:rsidRPr="00F15CE9" w:rsidRDefault="00C911C2" w:rsidP="00283C66">
      <w:pPr>
        <w:ind w:firstLine="720"/>
        <w:jc w:val="both"/>
      </w:pPr>
      <w:r w:rsidRPr="00F15CE9">
        <w:t xml:space="preserve"> - сопротивление изоляции (</w:t>
      </w:r>
      <w:proofErr w:type="gramStart"/>
      <w:r w:rsidRPr="00F15CE9">
        <w:rPr>
          <w:lang w:val="en-US"/>
        </w:rPr>
        <w:t>R</w:t>
      </w:r>
      <w:proofErr w:type="gramEnd"/>
      <w:r w:rsidRPr="00F15CE9">
        <w:rPr>
          <w:vertAlign w:val="subscript"/>
        </w:rPr>
        <w:t>из</w:t>
      </w:r>
      <w:r w:rsidRPr="00F15CE9">
        <w:t>);</w:t>
      </w:r>
    </w:p>
    <w:p w:rsidR="00C911C2" w:rsidRPr="00F15CE9" w:rsidRDefault="00C911C2" w:rsidP="00283C66">
      <w:pPr>
        <w:ind w:firstLine="720"/>
        <w:jc w:val="both"/>
      </w:pPr>
      <w:r w:rsidRPr="00F15CE9">
        <w:t xml:space="preserve"> - ток утечки на землю (</w:t>
      </w:r>
      <w:proofErr w:type="gramStart"/>
      <w:r w:rsidRPr="00F15CE9">
        <w:rPr>
          <w:lang w:val="en-US"/>
        </w:rPr>
        <w:t>I</w:t>
      </w:r>
      <w:proofErr w:type="spellStart"/>
      <w:proofErr w:type="gramEnd"/>
      <w:r w:rsidRPr="00F15CE9">
        <w:rPr>
          <w:vertAlign w:val="subscript"/>
        </w:rPr>
        <w:t>ут</w:t>
      </w:r>
      <w:proofErr w:type="spellEnd"/>
      <w:r w:rsidRPr="00F15CE9">
        <w:t>);</w:t>
      </w:r>
    </w:p>
    <w:p w:rsidR="00C911C2" w:rsidRPr="00F15CE9" w:rsidRDefault="00C911C2" w:rsidP="00283C66">
      <w:pPr>
        <w:ind w:firstLine="720"/>
        <w:jc w:val="both"/>
      </w:pPr>
      <w:r w:rsidRPr="00F15CE9">
        <w:t xml:space="preserve"> - коэффициент абсорбции (</w:t>
      </w:r>
      <w:proofErr w:type="spellStart"/>
      <w:r w:rsidRPr="00F15CE9">
        <w:t>К</w:t>
      </w:r>
      <w:r w:rsidRPr="00F15CE9">
        <w:rPr>
          <w:vertAlign w:val="subscript"/>
        </w:rPr>
        <w:t>абс</w:t>
      </w:r>
      <w:proofErr w:type="spellEnd"/>
      <w:r w:rsidRPr="00F15CE9">
        <w:t>);</w:t>
      </w:r>
    </w:p>
    <w:p w:rsidR="00C911C2" w:rsidRPr="00F15CE9" w:rsidRDefault="00C911C2" w:rsidP="00283C66">
      <w:pPr>
        <w:ind w:firstLine="720"/>
        <w:jc w:val="both"/>
      </w:pPr>
      <w:r w:rsidRPr="00F15CE9">
        <w:t xml:space="preserve"> - коэффициент поляризации (</w:t>
      </w:r>
      <w:proofErr w:type="spellStart"/>
      <w:r w:rsidRPr="00F15CE9">
        <w:t>К</w:t>
      </w:r>
      <w:r w:rsidRPr="00F15CE9">
        <w:rPr>
          <w:vertAlign w:val="subscript"/>
        </w:rPr>
        <w:t>пол</w:t>
      </w:r>
      <w:proofErr w:type="spellEnd"/>
      <w:r w:rsidRPr="00F15CE9">
        <w:t>).</w:t>
      </w:r>
    </w:p>
    <w:p w:rsidR="00C911C2" w:rsidRPr="00F15CE9" w:rsidRDefault="00C911C2" w:rsidP="00283C66">
      <w:pPr>
        <w:ind w:firstLine="720"/>
        <w:jc w:val="both"/>
      </w:pPr>
      <w:r w:rsidRPr="00F15CE9">
        <w:t>Отметим, что показатели предельных состояний электропроводки могут быть как качественными (наличие трещин, частичные разрывы цепи тока, обугливание и т.д.), определяемые визуально-оптическими способами, так и количественными, значения (интервал) которых устанавливаются соответствующими нормами.</w:t>
      </w:r>
    </w:p>
    <w:p w:rsidR="00C911C2" w:rsidRPr="00F15CE9" w:rsidRDefault="00C911C2" w:rsidP="00283C66">
      <w:pPr>
        <w:ind w:firstLine="720"/>
        <w:jc w:val="both"/>
      </w:pPr>
      <w:r w:rsidRPr="00F15CE9">
        <w:t>Представим формализованное описание процесса старения и разрушения электропроводки в виде аддитивной схемы влияния факторов на форматирование значений временного ряда</w:t>
      </w:r>
    </w:p>
    <w:p w:rsidR="00C911C2" w:rsidRPr="00F15CE9" w:rsidRDefault="00C911C2" w:rsidP="00283C66">
      <w:pPr>
        <w:ind w:firstLine="720"/>
        <w:jc w:val="right"/>
      </w:pPr>
      <w:r w:rsidRPr="00F15CE9">
        <w:rPr>
          <w:position w:val="-42"/>
        </w:rPr>
        <w:object w:dxaOrig="394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47.25pt" o:ole="">
            <v:imagedata r:id="rId9" o:title=""/>
          </v:shape>
          <o:OLEObject Type="Embed" ProgID="Equation.3" ShapeID="_x0000_i1025" DrawAspect="Content" ObjectID="_1433925929" r:id="rId10"/>
        </w:object>
      </w:r>
      <w:r w:rsidRPr="00F15CE9">
        <w:t xml:space="preserve">                                   (1)</w:t>
      </w:r>
    </w:p>
    <w:p w:rsidR="00C911C2" w:rsidRPr="00F15CE9" w:rsidRDefault="00C911C2" w:rsidP="00283C66">
      <w:pPr>
        <w:ind w:firstLine="720"/>
        <w:jc w:val="both"/>
      </w:pPr>
      <w:r w:rsidRPr="00F15CE9">
        <w:t xml:space="preserve">где </w:t>
      </w:r>
      <w:r w:rsidRPr="00F15CE9">
        <w:rPr>
          <w:lang w:val="en-US"/>
        </w:rPr>
        <w:t>F</w:t>
      </w:r>
      <w:r w:rsidRPr="00F15CE9">
        <w:t>(</w:t>
      </w:r>
      <w:r w:rsidRPr="00F15CE9">
        <w:rPr>
          <w:lang w:val="en-US"/>
        </w:rPr>
        <w:t>t</w:t>
      </w:r>
      <w:r w:rsidRPr="00F15CE9">
        <w:t xml:space="preserve">) – функционал (тренд), характеризующий тенденцию изменения ресурсного показателя в процессе старения и разрушения электропроводки; </w:t>
      </w:r>
    </w:p>
    <w:p w:rsidR="00C911C2" w:rsidRPr="00F15CE9" w:rsidRDefault="00C911C2" w:rsidP="00283C66">
      <w:pPr>
        <w:ind w:firstLine="720"/>
        <w:jc w:val="both"/>
      </w:pPr>
      <w:proofErr w:type="spellStart"/>
      <w:proofErr w:type="gramStart"/>
      <w:r w:rsidRPr="00F15CE9">
        <w:rPr>
          <w:lang w:val="en-US"/>
        </w:rPr>
        <w:t>f</w:t>
      </w:r>
      <w:r w:rsidRPr="00F15CE9">
        <w:rPr>
          <w:vertAlign w:val="subscript"/>
          <w:lang w:val="en-US"/>
        </w:rPr>
        <w:t>j</w:t>
      </w:r>
      <w:proofErr w:type="spellEnd"/>
      <w:r w:rsidRPr="00F15CE9">
        <w:t>(</w:t>
      </w:r>
      <w:proofErr w:type="gramEnd"/>
      <w:r w:rsidRPr="00F15CE9">
        <w:rPr>
          <w:lang w:val="en-US"/>
        </w:rPr>
        <w:t>t</w:t>
      </w:r>
      <w:r w:rsidRPr="00F15CE9">
        <w:t xml:space="preserve">) – функция, характеризующая изменение </w:t>
      </w:r>
      <w:r w:rsidRPr="00F15CE9">
        <w:rPr>
          <w:lang w:val="en-US"/>
        </w:rPr>
        <w:t>j</w:t>
      </w:r>
      <w:r w:rsidRPr="00F15CE9">
        <w:t>-го диагностического параметра;</w:t>
      </w:r>
    </w:p>
    <w:p w:rsidR="00C911C2" w:rsidRPr="00F15CE9" w:rsidRDefault="00C911C2" w:rsidP="00283C66">
      <w:pPr>
        <w:ind w:firstLine="720"/>
        <w:jc w:val="both"/>
      </w:pPr>
      <w:proofErr w:type="spellStart"/>
      <w:r w:rsidRPr="00F15CE9">
        <w:rPr>
          <w:lang w:val="en-US"/>
        </w:rPr>
        <w:t>a</w:t>
      </w:r>
      <w:r w:rsidRPr="00F15CE9">
        <w:rPr>
          <w:vertAlign w:val="subscript"/>
          <w:lang w:val="en-US"/>
        </w:rPr>
        <w:t>j</w:t>
      </w:r>
      <w:proofErr w:type="spellEnd"/>
      <w:r w:rsidRPr="00F15CE9">
        <w:t xml:space="preserve"> – корректирующий коэффициент, который может принимать значения 1 или 0 в зависимости от того, участвует ли в формировании значений функции </w:t>
      </w:r>
      <w:r w:rsidRPr="00F15CE9">
        <w:rPr>
          <w:lang w:val="en-US"/>
        </w:rPr>
        <w:t>F</w:t>
      </w:r>
      <w:r w:rsidRPr="00F15CE9">
        <w:t>(</w:t>
      </w:r>
      <w:r w:rsidRPr="00F15CE9">
        <w:rPr>
          <w:lang w:val="en-US"/>
        </w:rPr>
        <w:t>t</w:t>
      </w:r>
      <w:r w:rsidRPr="00F15CE9">
        <w:t>). Для установления этого факта необходимо проведение многокритериального анализа технического состояния электропроводки по данным экспериментальных исследований диагностических параметров, что позволит установить причинно-следственные связи между дефектами и признаками, характеризующими электроустановку.</w:t>
      </w:r>
    </w:p>
    <w:p w:rsidR="00C911C2" w:rsidRDefault="00C911C2" w:rsidP="00283C66">
      <w:pPr>
        <w:ind w:firstLine="720"/>
        <w:jc w:val="both"/>
      </w:pPr>
    </w:p>
    <w:p w:rsidR="006402D8" w:rsidRDefault="006402D8" w:rsidP="00283C66">
      <w:pPr>
        <w:ind w:firstLine="720"/>
        <w:jc w:val="both"/>
      </w:pPr>
    </w:p>
    <w:p w:rsidR="006402D8" w:rsidRPr="006402D8" w:rsidRDefault="006402D8" w:rsidP="006402D8">
      <w:pPr>
        <w:spacing w:line="276" w:lineRule="auto"/>
        <w:ind w:firstLine="709"/>
        <w:jc w:val="center"/>
      </w:pPr>
      <w:r w:rsidRPr="006402D8">
        <w:t>Литература</w:t>
      </w:r>
    </w:p>
    <w:p w:rsidR="006402D8" w:rsidRPr="00F15CE9" w:rsidRDefault="006402D8" w:rsidP="002D4502">
      <w:pPr>
        <w:jc w:val="both"/>
      </w:pPr>
      <w:bookmarkStart w:id="0" w:name="_GoBack"/>
      <w:r w:rsidRPr="00F15CE9">
        <w:t>1.</w:t>
      </w:r>
      <w:r>
        <w:t xml:space="preserve"> </w:t>
      </w:r>
      <w:r w:rsidRPr="00F15CE9">
        <w:t xml:space="preserve">Потапов Б.В. Экономика природного и техногенного рисков / Б.В. Потопов, Н.Н. </w:t>
      </w:r>
      <w:proofErr w:type="spellStart"/>
      <w:r w:rsidRPr="00F15CE9">
        <w:t>Радаев</w:t>
      </w:r>
      <w:proofErr w:type="spellEnd"/>
      <w:r w:rsidRPr="00F15CE9">
        <w:t xml:space="preserve"> – М.: ЗАО ФИД «Деловой экспресс». 2001. – 516 с.</w:t>
      </w:r>
    </w:p>
    <w:p w:rsidR="006402D8" w:rsidRPr="00F15CE9" w:rsidRDefault="006402D8" w:rsidP="002D4502">
      <w:pPr>
        <w:jc w:val="both"/>
      </w:pPr>
      <w:r w:rsidRPr="00F15CE9">
        <w:t>2. Бурков В.Н., Грищенко А.Ф., Кулик О.С. Задачи оптимального управления промышленной безопасностью / В.Н. Бурков, А.Ф. Грищенко, О.С. Кулик – М.: ИТУ РАН, 2000, - 70 с.</w:t>
      </w:r>
    </w:p>
    <w:p w:rsidR="006402D8" w:rsidRPr="00F15CE9" w:rsidRDefault="006402D8" w:rsidP="002D4502">
      <w:pPr>
        <w:jc w:val="both"/>
      </w:pPr>
      <w:r w:rsidRPr="00F15CE9">
        <w:t xml:space="preserve">3. ГОСТ </w:t>
      </w:r>
      <w:proofErr w:type="gramStart"/>
      <w:r w:rsidRPr="00F15CE9">
        <w:t>Р</w:t>
      </w:r>
      <w:proofErr w:type="gramEnd"/>
      <w:r w:rsidRPr="00F15CE9">
        <w:t xml:space="preserve"> 51901 – 2002. Управление надежностью. Анализ риска технологических систем.</w:t>
      </w:r>
    </w:p>
    <w:p w:rsidR="006402D8" w:rsidRPr="00F15CE9" w:rsidRDefault="006402D8" w:rsidP="002D4502">
      <w:pPr>
        <w:jc w:val="both"/>
      </w:pPr>
      <w:r w:rsidRPr="00F15CE9">
        <w:t xml:space="preserve">4. Наумов А.Е. Система прогнозирования остаточного ресурса </w:t>
      </w:r>
      <w:proofErr w:type="spellStart"/>
      <w:r w:rsidRPr="00F15CE9">
        <w:t>электроконтактных</w:t>
      </w:r>
      <w:proofErr w:type="spellEnd"/>
      <w:r w:rsidRPr="00F15CE9">
        <w:t xml:space="preserve"> соединений в эксплуатации на основе мониторинга ресурсного параметра / А.Е. Наумов// Научное программное обеспечение в образовании и научных исследованиях: труды научно-технической конференции СПб</w:t>
      </w:r>
      <w:proofErr w:type="gramStart"/>
      <w:r w:rsidRPr="00F15CE9">
        <w:t xml:space="preserve">.: </w:t>
      </w:r>
      <w:proofErr w:type="gramEnd"/>
      <w:r w:rsidRPr="00F15CE9">
        <w:t xml:space="preserve">Изд-во </w:t>
      </w:r>
      <w:proofErr w:type="spellStart"/>
      <w:r w:rsidRPr="00F15CE9">
        <w:t>политехн</w:t>
      </w:r>
      <w:proofErr w:type="spellEnd"/>
      <w:r w:rsidRPr="00F15CE9">
        <w:t>. ун-та, 2008, - С. 219 – 220.</w:t>
      </w:r>
    </w:p>
    <w:p w:rsidR="006402D8" w:rsidRPr="00F15CE9" w:rsidRDefault="006402D8" w:rsidP="002D4502">
      <w:pPr>
        <w:jc w:val="both"/>
      </w:pPr>
      <w:r w:rsidRPr="00F15CE9">
        <w:t xml:space="preserve">5. </w:t>
      </w:r>
      <w:proofErr w:type="spellStart"/>
      <w:r w:rsidRPr="00F15CE9">
        <w:t>Дюбуа</w:t>
      </w:r>
      <w:proofErr w:type="spellEnd"/>
      <w:r w:rsidRPr="00F15CE9">
        <w:t xml:space="preserve"> Д., </w:t>
      </w:r>
      <w:proofErr w:type="spellStart"/>
      <w:r w:rsidRPr="00F15CE9">
        <w:t>Прад</w:t>
      </w:r>
      <w:proofErr w:type="spellEnd"/>
      <w:r w:rsidRPr="00F15CE9">
        <w:t xml:space="preserve"> А. Теория возможностей // Приложение к представлению</w:t>
      </w:r>
      <w:r>
        <w:t xml:space="preserve"> знаний в информатике: пер. с фр</w:t>
      </w:r>
      <w:r w:rsidRPr="00F15CE9">
        <w:t>анц. – М.: Радио и связь, 1990, - 288 с.</w:t>
      </w:r>
    </w:p>
    <w:bookmarkEnd w:id="0"/>
    <w:p w:rsidR="006402D8" w:rsidRPr="00F15CE9" w:rsidRDefault="006402D8" w:rsidP="006402D8">
      <w:pPr>
        <w:ind w:firstLine="709"/>
        <w:jc w:val="both"/>
      </w:pPr>
    </w:p>
    <w:p w:rsidR="006402D8" w:rsidRDefault="006402D8" w:rsidP="006402D8">
      <w:pPr>
        <w:jc w:val="both"/>
      </w:pPr>
      <w:r w:rsidRPr="006576D9">
        <w:rPr>
          <w:b/>
        </w:rPr>
        <w:t>Гончаренко Георгий Александрович</w:t>
      </w:r>
      <w:r>
        <w:t xml:space="preserve">, </w:t>
      </w:r>
      <w:r w:rsidRPr="006576D9">
        <w:t xml:space="preserve">аспирант кафедры «Электрификация производства и быта» Алтайского государственного технического университета </w:t>
      </w:r>
    </w:p>
    <w:p w:rsidR="006402D8" w:rsidRPr="006402D8" w:rsidRDefault="006402D8" w:rsidP="006402D8">
      <w:pPr>
        <w:jc w:val="both"/>
        <w:rPr>
          <w:lang w:val="en-US"/>
        </w:rPr>
      </w:pPr>
      <w:r w:rsidRPr="006576D9">
        <w:t>им. И.И. Ползунова,  656038, г. Барнаул, пр-т Ленина 46, каф. ЭПБ</w:t>
      </w:r>
      <w:r w:rsidRPr="006402D8">
        <w:rPr>
          <w:lang w:val="en-US"/>
        </w:rPr>
        <w:t xml:space="preserve">, </w:t>
      </w:r>
    </w:p>
    <w:p w:rsidR="006402D8" w:rsidRPr="003B6E67" w:rsidRDefault="006402D8" w:rsidP="006402D8">
      <w:pPr>
        <w:jc w:val="both"/>
        <w:rPr>
          <w:iCs/>
          <w:lang w:val="en-US"/>
        </w:rPr>
      </w:pPr>
      <w:r>
        <w:t>т</w:t>
      </w:r>
      <w:r w:rsidRPr="006576D9">
        <w:t>ел</w:t>
      </w:r>
      <w:r w:rsidRPr="006E30FB">
        <w:rPr>
          <w:lang w:val="en-US"/>
        </w:rPr>
        <w:t xml:space="preserve">.: (385-2) 36-71-29, </w:t>
      </w:r>
      <w:r w:rsidRPr="006576D9">
        <w:rPr>
          <w:lang w:val="en-US"/>
        </w:rPr>
        <w:t>E</w:t>
      </w:r>
      <w:r w:rsidRPr="006E30FB">
        <w:rPr>
          <w:lang w:val="en-US"/>
        </w:rPr>
        <w:t>-</w:t>
      </w:r>
      <w:r w:rsidRPr="006576D9">
        <w:rPr>
          <w:lang w:val="en-US"/>
        </w:rPr>
        <w:t>mail</w:t>
      </w:r>
      <w:r w:rsidRPr="006E30FB">
        <w:rPr>
          <w:iCs/>
          <w:lang w:val="en-US"/>
        </w:rPr>
        <w:t xml:space="preserve">: </w:t>
      </w:r>
      <w:hyperlink r:id="rId11" w:history="1">
        <w:r w:rsidR="003B6E67" w:rsidRPr="00C63304">
          <w:rPr>
            <w:rStyle w:val="a9"/>
            <w:iCs/>
            <w:lang w:val="en-US"/>
          </w:rPr>
          <w:t>elnis@inbox.ru</w:t>
        </w:r>
      </w:hyperlink>
    </w:p>
    <w:p w:rsidR="003B6E67" w:rsidRPr="003B6E67" w:rsidRDefault="003B6E67" w:rsidP="006402D8">
      <w:pPr>
        <w:jc w:val="both"/>
      </w:pPr>
      <w:r w:rsidRPr="003B6E67">
        <w:rPr>
          <w:b/>
          <w:iCs/>
        </w:rPr>
        <w:t>Карнаухова</w:t>
      </w:r>
      <w:r>
        <w:rPr>
          <w:iCs/>
        </w:rPr>
        <w:t xml:space="preserve"> </w:t>
      </w:r>
      <w:r w:rsidRPr="002D4502">
        <w:rPr>
          <w:b/>
          <w:iCs/>
        </w:rPr>
        <w:t>Любовь Николаевна</w:t>
      </w:r>
      <w:r>
        <w:rPr>
          <w:iCs/>
        </w:rPr>
        <w:t xml:space="preserve">, ведущий инженер </w:t>
      </w:r>
      <w:proofErr w:type="spellStart"/>
      <w:r>
        <w:rPr>
          <w:iCs/>
        </w:rPr>
        <w:t>Г</w:t>
      </w:r>
      <w:proofErr w:type="gramStart"/>
      <w:r w:rsidR="002D4502">
        <w:rPr>
          <w:iCs/>
        </w:rPr>
        <w:t>У«</w:t>
      </w:r>
      <w:proofErr w:type="gramEnd"/>
      <w:r w:rsidR="002D4502">
        <w:rPr>
          <w:iCs/>
        </w:rPr>
        <w:t>ОрелРЦЭ</w:t>
      </w:r>
      <w:proofErr w:type="spellEnd"/>
      <w:r w:rsidR="002D4502">
        <w:rPr>
          <w:iCs/>
        </w:rPr>
        <w:t>», тел. 8(4862) 419830</w:t>
      </w:r>
    </w:p>
    <w:p w:rsidR="00283C66" w:rsidRPr="003B6E67" w:rsidRDefault="00283C66" w:rsidP="00283C66">
      <w:pPr>
        <w:ind w:firstLine="720"/>
        <w:jc w:val="both"/>
      </w:pPr>
    </w:p>
    <w:p w:rsidR="00622BD6" w:rsidRPr="003B6E67" w:rsidRDefault="00622BD6" w:rsidP="006402D8">
      <w:pPr>
        <w:spacing w:line="276" w:lineRule="auto"/>
      </w:pPr>
    </w:p>
    <w:sectPr w:rsidR="00622BD6" w:rsidRPr="003B6E67" w:rsidSect="006E30FB">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18" w:rsidRDefault="00621E18" w:rsidP="003333A0">
      <w:r>
        <w:separator/>
      </w:r>
    </w:p>
  </w:endnote>
  <w:endnote w:type="continuationSeparator" w:id="0">
    <w:p w:rsidR="00621E18" w:rsidRDefault="00621E18" w:rsidP="0033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62" w:rsidRDefault="009D6E99">
    <w:pPr>
      <w:pStyle w:val="a3"/>
      <w:jc w:val="center"/>
    </w:pPr>
    <w:r>
      <w:fldChar w:fldCharType="begin"/>
    </w:r>
    <w:r w:rsidR="00C911C2">
      <w:instrText xml:space="preserve"> PAGE   \* MERGEFORMAT </w:instrText>
    </w:r>
    <w:r>
      <w:fldChar w:fldCharType="separate"/>
    </w:r>
    <w:r w:rsidR="002D4502">
      <w:rPr>
        <w:noProof/>
      </w:rPr>
      <w:t>5</w:t>
    </w:r>
    <w:r>
      <w:fldChar w:fldCharType="end"/>
    </w:r>
  </w:p>
  <w:p w:rsidR="00E17C62" w:rsidRDefault="00621E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18" w:rsidRDefault="00621E18" w:rsidP="003333A0">
      <w:r>
        <w:separator/>
      </w:r>
    </w:p>
  </w:footnote>
  <w:footnote w:type="continuationSeparator" w:id="0">
    <w:p w:rsidR="00621E18" w:rsidRDefault="00621E18" w:rsidP="00333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11C2"/>
    <w:rsid w:val="00003286"/>
    <w:rsid w:val="000039A6"/>
    <w:rsid w:val="00006381"/>
    <w:rsid w:val="000115E8"/>
    <w:rsid w:val="0001317F"/>
    <w:rsid w:val="00013EDD"/>
    <w:rsid w:val="00017A4F"/>
    <w:rsid w:val="0002074B"/>
    <w:rsid w:val="00024AF4"/>
    <w:rsid w:val="00027CB6"/>
    <w:rsid w:val="00030A54"/>
    <w:rsid w:val="0003220F"/>
    <w:rsid w:val="000340DD"/>
    <w:rsid w:val="00034143"/>
    <w:rsid w:val="00036ABC"/>
    <w:rsid w:val="00037F3C"/>
    <w:rsid w:val="00040BDB"/>
    <w:rsid w:val="000416F9"/>
    <w:rsid w:val="00043A5D"/>
    <w:rsid w:val="00044A61"/>
    <w:rsid w:val="00045807"/>
    <w:rsid w:val="000461C0"/>
    <w:rsid w:val="000518A8"/>
    <w:rsid w:val="00056E93"/>
    <w:rsid w:val="0005704E"/>
    <w:rsid w:val="00057177"/>
    <w:rsid w:val="000615A2"/>
    <w:rsid w:val="00063A13"/>
    <w:rsid w:val="00065031"/>
    <w:rsid w:val="00065970"/>
    <w:rsid w:val="00066BEA"/>
    <w:rsid w:val="0007101F"/>
    <w:rsid w:val="00071F34"/>
    <w:rsid w:val="00076726"/>
    <w:rsid w:val="000775E8"/>
    <w:rsid w:val="0008069D"/>
    <w:rsid w:val="00082EE0"/>
    <w:rsid w:val="00083D6A"/>
    <w:rsid w:val="00085002"/>
    <w:rsid w:val="00087246"/>
    <w:rsid w:val="00087CFC"/>
    <w:rsid w:val="00092715"/>
    <w:rsid w:val="00094739"/>
    <w:rsid w:val="000A277D"/>
    <w:rsid w:val="000A601F"/>
    <w:rsid w:val="000A7D60"/>
    <w:rsid w:val="000B0E35"/>
    <w:rsid w:val="000B2AAE"/>
    <w:rsid w:val="000B5CF1"/>
    <w:rsid w:val="000B60EF"/>
    <w:rsid w:val="000B720A"/>
    <w:rsid w:val="000D6EDD"/>
    <w:rsid w:val="000E085B"/>
    <w:rsid w:val="000E0A21"/>
    <w:rsid w:val="000E27B3"/>
    <w:rsid w:val="000E7B4D"/>
    <w:rsid w:val="000F57AF"/>
    <w:rsid w:val="00100C99"/>
    <w:rsid w:val="00104628"/>
    <w:rsid w:val="00110829"/>
    <w:rsid w:val="001118A2"/>
    <w:rsid w:val="00115B95"/>
    <w:rsid w:val="0011607B"/>
    <w:rsid w:val="00116CA6"/>
    <w:rsid w:val="00116FC3"/>
    <w:rsid w:val="00117C6B"/>
    <w:rsid w:val="00126D95"/>
    <w:rsid w:val="0013222B"/>
    <w:rsid w:val="001330A3"/>
    <w:rsid w:val="00152061"/>
    <w:rsid w:val="00154B8C"/>
    <w:rsid w:val="001608BA"/>
    <w:rsid w:val="001623BE"/>
    <w:rsid w:val="00163DDD"/>
    <w:rsid w:val="00170A11"/>
    <w:rsid w:val="001715CD"/>
    <w:rsid w:val="001731FB"/>
    <w:rsid w:val="00173811"/>
    <w:rsid w:val="001867B0"/>
    <w:rsid w:val="00187F23"/>
    <w:rsid w:val="00191B17"/>
    <w:rsid w:val="00193485"/>
    <w:rsid w:val="001944D6"/>
    <w:rsid w:val="00196749"/>
    <w:rsid w:val="001A0DB8"/>
    <w:rsid w:val="001A674B"/>
    <w:rsid w:val="001B06E0"/>
    <w:rsid w:val="001B17E1"/>
    <w:rsid w:val="001B37A9"/>
    <w:rsid w:val="001B7ED4"/>
    <w:rsid w:val="001B7F78"/>
    <w:rsid w:val="001C1169"/>
    <w:rsid w:val="001C41A1"/>
    <w:rsid w:val="001C44FA"/>
    <w:rsid w:val="001D0395"/>
    <w:rsid w:val="001D382B"/>
    <w:rsid w:val="001D5B81"/>
    <w:rsid w:val="001D7A83"/>
    <w:rsid w:val="001D7DFC"/>
    <w:rsid w:val="001E21DA"/>
    <w:rsid w:val="001F0DAB"/>
    <w:rsid w:val="001F4B9B"/>
    <w:rsid w:val="001F7EA2"/>
    <w:rsid w:val="00201D20"/>
    <w:rsid w:val="0020345F"/>
    <w:rsid w:val="00211632"/>
    <w:rsid w:val="00220680"/>
    <w:rsid w:val="00221CF7"/>
    <w:rsid w:val="00223131"/>
    <w:rsid w:val="002246E7"/>
    <w:rsid w:val="00227294"/>
    <w:rsid w:val="00232107"/>
    <w:rsid w:val="00232B7E"/>
    <w:rsid w:val="00234BCD"/>
    <w:rsid w:val="0023632B"/>
    <w:rsid w:val="00236AEE"/>
    <w:rsid w:val="0023713F"/>
    <w:rsid w:val="0023779A"/>
    <w:rsid w:val="00240474"/>
    <w:rsid w:val="002406A8"/>
    <w:rsid w:val="00242982"/>
    <w:rsid w:val="00244A73"/>
    <w:rsid w:val="00245C5F"/>
    <w:rsid w:val="00246594"/>
    <w:rsid w:val="0025412D"/>
    <w:rsid w:val="00261FA1"/>
    <w:rsid w:val="00270788"/>
    <w:rsid w:val="002714F2"/>
    <w:rsid w:val="00272746"/>
    <w:rsid w:val="00275268"/>
    <w:rsid w:val="00276BE0"/>
    <w:rsid w:val="00282043"/>
    <w:rsid w:val="00283C66"/>
    <w:rsid w:val="00284B10"/>
    <w:rsid w:val="00285B42"/>
    <w:rsid w:val="00286D96"/>
    <w:rsid w:val="00295DA0"/>
    <w:rsid w:val="002A3E33"/>
    <w:rsid w:val="002A43E4"/>
    <w:rsid w:val="002A5A47"/>
    <w:rsid w:val="002A797F"/>
    <w:rsid w:val="002B105D"/>
    <w:rsid w:val="002B160D"/>
    <w:rsid w:val="002B2AA4"/>
    <w:rsid w:val="002B2B5A"/>
    <w:rsid w:val="002B3624"/>
    <w:rsid w:val="002B62B9"/>
    <w:rsid w:val="002B643F"/>
    <w:rsid w:val="002B6963"/>
    <w:rsid w:val="002C15B8"/>
    <w:rsid w:val="002C3FB5"/>
    <w:rsid w:val="002C7C9B"/>
    <w:rsid w:val="002D1CEC"/>
    <w:rsid w:val="002D35C0"/>
    <w:rsid w:val="002D4502"/>
    <w:rsid w:val="002D798B"/>
    <w:rsid w:val="002E0362"/>
    <w:rsid w:val="002E0C4E"/>
    <w:rsid w:val="002E0ED7"/>
    <w:rsid w:val="002E68AD"/>
    <w:rsid w:val="002F108E"/>
    <w:rsid w:val="002F1C54"/>
    <w:rsid w:val="002F22BE"/>
    <w:rsid w:val="002F30CC"/>
    <w:rsid w:val="002F425E"/>
    <w:rsid w:val="003021DE"/>
    <w:rsid w:val="00305CF7"/>
    <w:rsid w:val="00306CCC"/>
    <w:rsid w:val="0031009F"/>
    <w:rsid w:val="0031181E"/>
    <w:rsid w:val="0031333D"/>
    <w:rsid w:val="00317CDE"/>
    <w:rsid w:val="00317E31"/>
    <w:rsid w:val="00323074"/>
    <w:rsid w:val="00327189"/>
    <w:rsid w:val="00332FF3"/>
    <w:rsid w:val="003330F9"/>
    <w:rsid w:val="003333A0"/>
    <w:rsid w:val="00335723"/>
    <w:rsid w:val="00335847"/>
    <w:rsid w:val="00336139"/>
    <w:rsid w:val="0033730A"/>
    <w:rsid w:val="00342D3B"/>
    <w:rsid w:val="00344026"/>
    <w:rsid w:val="00347B2B"/>
    <w:rsid w:val="0035092F"/>
    <w:rsid w:val="00352AB6"/>
    <w:rsid w:val="00353DF8"/>
    <w:rsid w:val="00353FE0"/>
    <w:rsid w:val="00363B2D"/>
    <w:rsid w:val="00364EB4"/>
    <w:rsid w:val="0036748D"/>
    <w:rsid w:val="0037313A"/>
    <w:rsid w:val="00374671"/>
    <w:rsid w:val="00375A6F"/>
    <w:rsid w:val="00385D5F"/>
    <w:rsid w:val="00390ED5"/>
    <w:rsid w:val="00391FBF"/>
    <w:rsid w:val="00393FA6"/>
    <w:rsid w:val="003A022E"/>
    <w:rsid w:val="003A250E"/>
    <w:rsid w:val="003A3C1B"/>
    <w:rsid w:val="003A79DC"/>
    <w:rsid w:val="003B1185"/>
    <w:rsid w:val="003B6433"/>
    <w:rsid w:val="003B6E67"/>
    <w:rsid w:val="003C311E"/>
    <w:rsid w:val="003C73AE"/>
    <w:rsid w:val="003D1FE2"/>
    <w:rsid w:val="003D284F"/>
    <w:rsid w:val="003D4EA7"/>
    <w:rsid w:val="003E41D0"/>
    <w:rsid w:val="003E6C04"/>
    <w:rsid w:val="003F1093"/>
    <w:rsid w:val="003F3CBA"/>
    <w:rsid w:val="003F585D"/>
    <w:rsid w:val="00400F8E"/>
    <w:rsid w:val="00405201"/>
    <w:rsid w:val="00411ECB"/>
    <w:rsid w:val="004138A3"/>
    <w:rsid w:val="00416A64"/>
    <w:rsid w:val="00416B16"/>
    <w:rsid w:val="00420A80"/>
    <w:rsid w:val="004229B0"/>
    <w:rsid w:val="00423B39"/>
    <w:rsid w:val="00423E79"/>
    <w:rsid w:val="00423F89"/>
    <w:rsid w:val="004243F7"/>
    <w:rsid w:val="004251C4"/>
    <w:rsid w:val="004304C1"/>
    <w:rsid w:val="0043128D"/>
    <w:rsid w:val="00431840"/>
    <w:rsid w:val="004407B9"/>
    <w:rsid w:val="00443021"/>
    <w:rsid w:val="0044347A"/>
    <w:rsid w:val="004453E3"/>
    <w:rsid w:val="00450716"/>
    <w:rsid w:val="00455524"/>
    <w:rsid w:val="00455AC1"/>
    <w:rsid w:val="00462499"/>
    <w:rsid w:val="0046260C"/>
    <w:rsid w:val="00463E1F"/>
    <w:rsid w:val="00463E5C"/>
    <w:rsid w:val="00475DA9"/>
    <w:rsid w:val="004766C3"/>
    <w:rsid w:val="004767A9"/>
    <w:rsid w:val="00477544"/>
    <w:rsid w:val="0048026E"/>
    <w:rsid w:val="00487A0F"/>
    <w:rsid w:val="00491BD1"/>
    <w:rsid w:val="00492C53"/>
    <w:rsid w:val="00492DA8"/>
    <w:rsid w:val="00493539"/>
    <w:rsid w:val="00493CD8"/>
    <w:rsid w:val="004A27C0"/>
    <w:rsid w:val="004A53AB"/>
    <w:rsid w:val="004A6D8E"/>
    <w:rsid w:val="004A7D54"/>
    <w:rsid w:val="004B4377"/>
    <w:rsid w:val="004B6ADF"/>
    <w:rsid w:val="004C00AB"/>
    <w:rsid w:val="004C05CB"/>
    <w:rsid w:val="004C0831"/>
    <w:rsid w:val="004C286A"/>
    <w:rsid w:val="004C38A7"/>
    <w:rsid w:val="004C5099"/>
    <w:rsid w:val="004C6746"/>
    <w:rsid w:val="004C74B6"/>
    <w:rsid w:val="004C78B6"/>
    <w:rsid w:val="004C7B1F"/>
    <w:rsid w:val="004D078F"/>
    <w:rsid w:val="004D3957"/>
    <w:rsid w:val="004E0281"/>
    <w:rsid w:val="004E5533"/>
    <w:rsid w:val="004E6CA6"/>
    <w:rsid w:val="004F187B"/>
    <w:rsid w:val="004F387B"/>
    <w:rsid w:val="004F4D07"/>
    <w:rsid w:val="00500D16"/>
    <w:rsid w:val="00510861"/>
    <w:rsid w:val="00510ECE"/>
    <w:rsid w:val="00521E35"/>
    <w:rsid w:val="005311E2"/>
    <w:rsid w:val="0053527D"/>
    <w:rsid w:val="005401FC"/>
    <w:rsid w:val="005534AC"/>
    <w:rsid w:val="0055759D"/>
    <w:rsid w:val="0055794F"/>
    <w:rsid w:val="0056092A"/>
    <w:rsid w:val="00560D7D"/>
    <w:rsid w:val="00565CF2"/>
    <w:rsid w:val="00567776"/>
    <w:rsid w:val="00567A53"/>
    <w:rsid w:val="005705AB"/>
    <w:rsid w:val="00571AF3"/>
    <w:rsid w:val="00575A52"/>
    <w:rsid w:val="00582A04"/>
    <w:rsid w:val="0058397D"/>
    <w:rsid w:val="00586E01"/>
    <w:rsid w:val="00591B20"/>
    <w:rsid w:val="00597721"/>
    <w:rsid w:val="005A0FA8"/>
    <w:rsid w:val="005A204E"/>
    <w:rsid w:val="005A33FC"/>
    <w:rsid w:val="005A4BDE"/>
    <w:rsid w:val="005A5BA6"/>
    <w:rsid w:val="005B2368"/>
    <w:rsid w:val="005B6998"/>
    <w:rsid w:val="005B7627"/>
    <w:rsid w:val="005C1C8B"/>
    <w:rsid w:val="005C1E97"/>
    <w:rsid w:val="005C3126"/>
    <w:rsid w:val="005C5B89"/>
    <w:rsid w:val="005C66BB"/>
    <w:rsid w:val="005D13AA"/>
    <w:rsid w:val="005D2A7E"/>
    <w:rsid w:val="005D58C4"/>
    <w:rsid w:val="005D604E"/>
    <w:rsid w:val="005D62EB"/>
    <w:rsid w:val="005E0ED4"/>
    <w:rsid w:val="005E264E"/>
    <w:rsid w:val="005E4585"/>
    <w:rsid w:val="005E5FA3"/>
    <w:rsid w:val="005F085D"/>
    <w:rsid w:val="005F3CC9"/>
    <w:rsid w:val="005F6C82"/>
    <w:rsid w:val="00601469"/>
    <w:rsid w:val="00604696"/>
    <w:rsid w:val="00610946"/>
    <w:rsid w:val="00612650"/>
    <w:rsid w:val="006141D5"/>
    <w:rsid w:val="0062076C"/>
    <w:rsid w:val="00621819"/>
    <w:rsid w:val="006219B4"/>
    <w:rsid w:val="00621E18"/>
    <w:rsid w:val="0062211B"/>
    <w:rsid w:val="00622BD6"/>
    <w:rsid w:val="00623C9C"/>
    <w:rsid w:val="00624A6D"/>
    <w:rsid w:val="00626FFF"/>
    <w:rsid w:val="00631B45"/>
    <w:rsid w:val="0063249C"/>
    <w:rsid w:val="006402D8"/>
    <w:rsid w:val="00643E3D"/>
    <w:rsid w:val="0065112C"/>
    <w:rsid w:val="0065294F"/>
    <w:rsid w:val="00653D08"/>
    <w:rsid w:val="00653D9A"/>
    <w:rsid w:val="006545C8"/>
    <w:rsid w:val="00656095"/>
    <w:rsid w:val="006563D1"/>
    <w:rsid w:val="006576D9"/>
    <w:rsid w:val="00667253"/>
    <w:rsid w:val="0067302C"/>
    <w:rsid w:val="00681558"/>
    <w:rsid w:val="006839F7"/>
    <w:rsid w:val="0068446A"/>
    <w:rsid w:val="00685575"/>
    <w:rsid w:val="006875A3"/>
    <w:rsid w:val="00692E28"/>
    <w:rsid w:val="006954DC"/>
    <w:rsid w:val="006A2B07"/>
    <w:rsid w:val="006A5B2E"/>
    <w:rsid w:val="006B4890"/>
    <w:rsid w:val="006B611C"/>
    <w:rsid w:val="006C1C5F"/>
    <w:rsid w:val="006C730D"/>
    <w:rsid w:val="006C7D9D"/>
    <w:rsid w:val="006C7F13"/>
    <w:rsid w:val="006D2950"/>
    <w:rsid w:val="006D3A03"/>
    <w:rsid w:val="006D737C"/>
    <w:rsid w:val="006D790E"/>
    <w:rsid w:val="006E2264"/>
    <w:rsid w:val="006E30FB"/>
    <w:rsid w:val="006E649E"/>
    <w:rsid w:val="006E7A7B"/>
    <w:rsid w:val="006F1D53"/>
    <w:rsid w:val="006F481D"/>
    <w:rsid w:val="006F7A30"/>
    <w:rsid w:val="00705526"/>
    <w:rsid w:val="00706E59"/>
    <w:rsid w:val="00712C3B"/>
    <w:rsid w:val="00715129"/>
    <w:rsid w:val="00720DD2"/>
    <w:rsid w:val="00723BF2"/>
    <w:rsid w:val="00724ED8"/>
    <w:rsid w:val="007255D3"/>
    <w:rsid w:val="007354A5"/>
    <w:rsid w:val="007370C2"/>
    <w:rsid w:val="00741A35"/>
    <w:rsid w:val="00751971"/>
    <w:rsid w:val="00751D8A"/>
    <w:rsid w:val="00753DC5"/>
    <w:rsid w:val="00755D92"/>
    <w:rsid w:val="0076086F"/>
    <w:rsid w:val="007619EB"/>
    <w:rsid w:val="007638D9"/>
    <w:rsid w:val="007642E0"/>
    <w:rsid w:val="00772FE6"/>
    <w:rsid w:val="00773B6E"/>
    <w:rsid w:val="00776376"/>
    <w:rsid w:val="00787C93"/>
    <w:rsid w:val="00791879"/>
    <w:rsid w:val="00792D89"/>
    <w:rsid w:val="007958A7"/>
    <w:rsid w:val="00797553"/>
    <w:rsid w:val="007A0396"/>
    <w:rsid w:val="007B1AEB"/>
    <w:rsid w:val="007B1DB9"/>
    <w:rsid w:val="007B29B8"/>
    <w:rsid w:val="007B5ED2"/>
    <w:rsid w:val="007C3484"/>
    <w:rsid w:val="007D1FCE"/>
    <w:rsid w:val="007D2F5B"/>
    <w:rsid w:val="007D4CC7"/>
    <w:rsid w:val="007F119D"/>
    <w:rsid w:val="007F57B7"/>
    <w:rsid w:val="0080089A"/>
    <w:rsid w:val="00800AE2"/>
    <w:rsid w:val="00800EFC"/>
    <w:rsid w:val="00802401"/>
    <w:rsid w:val="00806379"/>
    <w:rsid w:val="00807831"/>
    <w:rsid w:val="00810357"/>
    <w:rsid w:val="00811560"/>
    <w:rsid w:val="00811C59"/>
    <w:rsid w:val="00811C7F"/>
    <w:rsid w:val="00817197"/>
    <w:rsid w:val="008214EE"/>
    <w:rsid w:val="00822831"/>
    <w:rsid w:val="00822CAC"/>
    <w:rsid w:val="008230DB"/>
    <w:rsid w:val="00824CE1"/>
    <w:rsid w:val="008314AF"/>
    <w:rsid w:val="00833AFD"/>
    <w:rsid w:val="0084660A"/>
    <w:rsid w:val="00852801"/>
    <w:rsid w:val="00856485"/>
    <w:rsid w:val="00861558"/>
    <w:rsid w:val="00861D1B"/>
    <w:rsid w:val="0086295A"/>
    <w:rsid w:val="008629E4"/>
    <w:rsid w:val="00862B4A"/>
    <w:rsid w:val="008641B1"/>
    <w:rsid w:val="00866761"/>
    <w:rsid w:val="00867698"/>
    <w:rsid w:val="0087000C"/>
    <w:rsid w:val="00870A9C"/>
    <w:rsid w:val="00870D1E"/>
    <w:rsid w:val="00872C39"/>
    <w:rsid w:val="00873814"/>
    <w:rsid w:val="00874374"/>
    <w:rsid w:val="008759A8"/>
    <w:rsid w:val="008772C1"/>
    <w:rsid w:val="008773B1"/>
    <w:rsid w:val="00881804"/>
    <w:rsid w:val="00883EAA"/>
    <w:rsid w:val="008862DA"/>
    <w:rsid w:val="008903BF"/>
    <w:rsid w:val="00890D12"/>
    <w:rsid w:val="00893B1E"/>
    <w:rsid w:val="008955B2"/>
    <w:rsid w:val="00897BD2"/>
    <w:rsid w:val="008A45DD"/>
    <w:rsid w:val="008A7314"/>
    <w:rsid w:val="008B16CD"/>
    <w:rsid w:val="008B1BEE"/>
    <w:rsid w:val="008B3DEB"/>
    <w:rsid w:val="008B573E"/>
    <w:rsid w:val="008B5F08"/>
    <w:rsid w:val="008B78FF"/>
    <w:rsid w:val="008C00F8"/>
    <w:rsid w:val="008C03E2"/>
    <w:rsid w:val="008C05A2"/>
    <w:rsid w:val="008C4FFC"/>
    <w:rsid w:val="008C753C"/>
    <w:rsid w:val="008D16A6"/>
    <w:rsid w:val="008D2D08"/>
    <w:rsid w:val="008D3E6D"/>
    <w:rsid w:val="008D56A5"/>
    <w:rsid w:val="008D72CA"/>
    <w:rsid w:val="008D7B00"/>
    <w:rsid w:val="008E2050"/>
    <w:rsid w:val="008E2082"/>
    <w:rsid w:val="008E2182"/>
    <w:rsid w:val="008E2C55"/>
    <w:rsid w:val="008E3677"/>
    <w:rsid w:val="008E64EC"/>
    <w:rsid w:val="009018E1"/>
    <w:rsid w:val="00907736"/>
    <w:rsid w:val="009117B7"/>
    <w:rsid w:val="009117E5"/>
    <w:rsid w:val="00913FD8"/>
    <w:rsid w:val="009206FF"/>
    <w:rsid w:val="009210C4"/>
    <w:rsid w:val="00921BB6"/>
    <w:rsid w:val="00927190"/>
    <w:rsid w:val="009322ED"/>
    <w:rsid w:val="009340C3"/>
    <w:rsid w:val="00941448"/>
    <w:rsid w:val="00943EF3"/>
    <w:rsid w:val="0094512F"/>
    <w:rsid w:val="00964C30"/>
    <w:rsid w:val="009753E6"/>
    <w:rsid w:val="009801D5"/>
    <w:rsid w:val="00980753"/>
    <w:rsid w:val="009808CD"/>
    <w:rsid w:val="00981771"/>
    <w:rsid w:val="00982653"/>
    <w:rsid w:val="009844D8"/>
    <w:rsid w:val="0098615F"/>
    <w:rsid w:val="0099388A"/>
    <w:rsid w:val="009961DD"/>
    <w:rsid w:val="009A659F"/>
    <w:rsid w:val="009A7124"/>
    <w:rsid w:val="009B0449"/>
    <w:rsid w:val="009B427E"/>
    <w:rsid w:val="009C2562"/>
    <w:rsid w:val="009D1396"/>
    <w:rsid w:val="009D426D"/>
    <w:rsid w:val="009D4DE9"/>
    <w:rsid w:val="009D54B6"/>
    <w:rsid w:val="009D60A1"/>
    <w:rsid w:val="009D6E99"/>
    <w:rsid w:val="009E41F5"/>
    <w:rsid w:val="009E747A"/>
    <w:rsid w:val="009F12F4"/>
    <w:rsid w:val="009F233A"/>
    <w:rsid w:val="009F4CC3"/>
    <w:rsid w:val="009F58A1"/>
    <w:rsid w:val="00A001A8"/>
    <w:rsid w:val="00A001B3"/>
    <w:rsid w:val="00A03FAE"/>
    <w:rsid w:val="00A06E36"/>
    <w:rsid w:val="00A23416"/>
    <w:rsid w:val="00A32F35"/>
    <w:rsid w:val="00A3500F"/>
    <w:rsid w:val="00A367C0"/>
    <w:rsid w:val="00A37026"/>
    <w:rsid w:val="00A370FB"/>
    <w:rsid w:val="00A408BC"/>
    <w:rsid w:val="00A44E90"/>
    <w:rsid w:val="00A45FE5"/>
    <w:rsid w:val="00A47964"/>
    <w:rsid w:val="00A57767"/>
    <w:rsid w:val="00A62AD4"/>
    <w:rsid w:val="00A62F2F"/>
    <w:rsid w:val="00A64795"/>
    <w:rsid w:val="00A64C56"/>
    <w:rsid w:val="00A65D4E"/>
    <w:rsid w:val="00A660F2"/>
    <w:rsid w:val="00A66F0A"/>
    <w:rsid w:val="00A703F9"/>
    <w:rsid w:val="00A71971"/>
    <w:rsid w:val="00A7342A"/>
    <w:rsid w:val="00A758D9"/>
    <w:rsid w:val="00A85933"/>
    <w:rsid w:val="00A97D68"/>
    <w:rsid w:val="00AA7535"/>
    <w:rsid w:val="00AB04B1"/>
    <w:rsid w:val="00AB14CB"/>
    <w:rsid w:val="00AB4C35"/>
    <w:rsid w:val="00AC175C"/>
    <w:rsid w:val="00AC32F6"/>
    <w:rsid w:val="00AC385E"/>
    <w:rsid w:val="00AC4000"/>
    <w:rsid w:val="00AC4301"/>
    <w:rsid w:val="00AC7510"/>
    <w:rsid w:val="00AC7A83"/>
    <w:rsid w:val="00AD121B"/>
    <w:rsid w:val="00AD6F42"/>
    <w:rsid w:val="00AE014E"/>
    <w:rsid w:val="00AE03CE"/>
    <w:rsid w:val="00AE0E7C"/>
    <w:rsid w:val="00AE3C5C"/>
    <w:rsid w:val="00AE3E6C"/>
    <w:rsid w:val="00AE4A91"/>
    <w:rsid w:val="00AE4CFE"/>
    <w:rsid w:val="00AE57D5"/>
    <w:rsid w:val="00AE60D8"/>
    <w:rsid w:val="00AE65A4"/>
    <w:rsid w:val="00AF29CE"/>
    <w:rsid w:val="00AF39B0"/>
    <w:rsid w:val="00B0378F"/>
    <w:rsid w:val="00B0514E"/>
    <w:rsid w:val="00B06477"/>
    <w:rsid w:val="00B070EC"/>
    <w:rsid w:val="00B07CFB"/>
    <w:rsid w:val="00B07DB4"/>
    <w:rsid w:val="00B14505"/>
    <w:rsid w:val="00B17BDD"/>
    <w:rsid w:val="00B2254A"/>
    <w:rsid w:val="00B23507"/>
    <w:rsid w:val="00B26835"/>
    <w:rsid w:val="00B277F4"/>
    <w:rsid w:val="00B3086A"/>
    <w:rsid w:val="00B32115"/>
    <w:rsid w:val="00B333A9"/>
    <w:rsid w:val="00B33C2D"/>
    <w:rsid w:val="00B34869"/>
    <w:rsid w:val="00B40E8F"/>
    <w:rsid w:val="00B41126"/>
    <w:rsid w:val="00B46598"/>
    <w:rsid w:val="00B4781E"/>
    <w:rsid w:val="00B52641"/>
    <w:rsid w:val="00B55F55"/>
    <w:rsid w:val="00B56AD5"/>
    <w:rsid w:val="00B60088"/>
    <w:rsid w:val="00B61486"/>
    <w:rsid w:val="00B62E12"/>
    <w:rsid w:val="00B65349"/>
    <w:rsid w:val="00B67D2A"/>
    <w:rsid w:val="00B7030C"/>
    <w:rsid w:val="00B85B41"/>
    <w:rsid w:val="00B90817"/>
    <w:rsid w:val="00B948E9"/>
    <w:rsid w:val="00BA0C2A"/>
    <w:rsid w:val="00BA0C97"/>
    <w:rsid w:val="00BA0E14"/>
    <w:rsid w:val="00BA2572"/>
    <w:rsid w:val="00BA3E46"/>
    <w:rsid w:val="00BB0EB7"/>
    <w:rsid w:val="00BB13F3"/>
    <w:rsid w:val="00BB2509"/>
    <w:rsid w:val="00BB6A74"/>
    <w:rsid w:val="00BC286E"/>
    <w:rsid w:val="00BD174A"/>
    <w:rsid w:val="00BD1F49"/>
    <w:rsid w:val="00BD46BA"/>
    <w:rsid w:val="00BD4987"/>
    <w:rsid w:val="00BE0B2C"/>
    <w:rsid w:val="00BE10AB"/>
    <w:rsid w:val="00BE111F"/>
    <w:rsid w:val="00BE14BE"/>
    <w:rsid w:val="00BE2026"/>
    <w:rsid w:val="00BE2618"/>
    <w:rsid w:val="00BE2970"/>
    <w:rsid w:val="00BE4920"/>
    <w:rsid w:val="00BE5BC7"/>
    <w:rsid w:val="00BE7AD2"/>
    <w:rsid w:val="00BF5508"/>
    <w:rsid w:val="00BF62BF"/>
    <w:rsid w:val="00BF7457"/>
    <w:rsid w:val="00C04FFC"/>
    <w:rsid w:val="00C064C5"/>
    <w:rsid w:val="00C077C5"/>
    <w:rsid w:val="00C10CBA"/>
    <w:rsid w:val="00C12BB9"/>
    <w:rsid w:val="00C31151"/>
    <w:rsid w:val="00C32CBB"/>
    <w:rsid w:val="00C33426"/>
    <w:rsid w:val="00C341CA"/>
    <w:rsid w:val="00C35188"/>
    <w:rsid w:val="00C36A34"/>
    <w:rsid w:val="00C415BF"/>
    <w:rsid w:val="00C43C7E"/>
    <w:rsid w:val="00C44C7D"/>
    <w:rsid w:val="00C52D86"/>
    <w:rsid w:val="00C538B5"/>
    <w:rsid w:val="00C56A8E"/>
    <w:rsid w:val="00C613B0"/>
    <w:rsid w:val="00C62A63"/>
    <w:rsid w:val="00C65BB5"/>
    <w:rsid w:val="00C65FDD"/>
    <w:rsid w:val="00C666FD"/>
    <w:rsid w:val="00C6691D"/>
    <w:rsid w:val="00C6761A"/>
    <w:rsid w:val="00C678A3"/>
    <w:rsid w:val="00C67DD3"/>
    <w:rsid w:val="00C67FC6"/>
    <w:rsid w:val="00C71D39"/>
    <w:rsid w:val="00C723C5"/>
    <w:rsid w:val="00C73827"/>
    <w:rsid w:val="00C73BDD"/>
    <w:rsid w:val="00C7408B"/>
    <w:rsid w:val="00C7565E"/>
    <w:rsid w:val="00C77163"/>
    <w:rsid w:val="00C8038D"/>
    <w:rsid w:val="00C81E9C"/>
    <w:rsid w:val="00C84C98"/>
    <w:rsid w:val="00C911C2"/>
    <w:rsid w:val="00C959C0"/>
    <w:rsid w:val="00C95B3D"/>
    <w:rsid w:val="00CA35D6"/>
    <w:rsid w:val="00CA74FC"/>
    <w:rsid w:val="00CB38E2"/>
    <w:rsid w:val="00CB42E8"/>
    <w:rsid w:val="00CB4971"/>
    <w:rsid w:val="00CB60DC"/>
    <w:rsid w:val="00CC4BAC"/>
    <w:rsid w:val="00CC6E92"/>
    <w:rsid w:val="00CC6EF7"/>
    <w:rsid w:val="00CD171A"/>
    <w:rsid w:val="00CD4514"/>
    <w:rsid w:val="00CE1E53"/>
    <w:rsid w:val="00CE3A48"/>
    <w:rsid w:val="00CE765A"/>
    <w:rsid w:val="00CF13D8"/>
    <w:rsid w:val="00CF16E8"/>
    <w:rsid w:val="00CF18B4"/>
    <w:rsid w:val="00CF4579"/>
    <w:rsid w:val="00CF7197"/>
    <w:rsid w:val="00D0344D"/>
    <w:rsid w:val="00D03B4E"/>
    <w:rsid w:val="00D14760"/>
    <w:rsid w:val="00D16748"/>
    <w:rsid w:val="00D23C3A"/>
    <w:rsid w:val="00D23FFA"/>
    <w:rsid w:val="00D306AC"/>
    <w:rsid w:val="00D315D6"/>
    <w:rsid w:val="00D32F39"/>
    <w:rsid w:val="00D33551"/>
    <w:rsid w:val="00D35AAE"/>
    <w:rsid w:val="00D35EAB"/>
    <w:rsid w:val="00D40C7C"/>
    <w:rsid w:val="00D41E45"/>
    <w:rsid w:val="00D45A70"/>
    <w:rsid w:val="00D45ED3"/>
    <w:rsid w:val="00D5014F"/>
    <w:rsid w:val="00D512F5"/>
    <w:rsid w:val="00D5194F"/>
    <w:rsid w:val="00D53284"/>
    <w:rsid w:val="00D57036"/>
    <w:rsid w:val="00D61FAB"/>
    <w:rsid w:val="00D6513F"/>
    <w:rsid w:val="00D66242"/>
    <w:rsid w:val="00D75214"/>
    <w:rsid w:val="00D77E40"/>
    <w:rsid w:val="00D80A1E"/>
    <w:rsid w:val="00D8608C"/>
    <w:rsid w:val="00D86CED"/>
    <w:rsid w:val="00D911D3"/>
    <w:rsid w:val="00D911FB"/>
    <w:rsid w:val="00D918BE"/>
    <w:rsid w:val="00D95749"/>
    <w:rsid w:val="00D95C22"/>
    <w:rsid w:val="00D97EB4"/>
    <w:rsid w:val="00DA14AC"/>
    <w:rsid w:val="00DA19CA"/>
    <w:rsid w:val="00DA2A8B"/>
    <w:rsid w:val="00DA2E59"/>
    <w:rsid w:val="00DA32E4"/>
    <w:rsid w:val="00DA51C3"/>
    <w:rsid w:val="00DB1ADA"/>
    <w:rsid w:val="00DB4B26"/>
    <w:rsid w:val="00DC1D73"/>
    <w:rsid w:val="00DC3A15"/>
    <w:rsid w:val="00DD74BF"/>
    <w:rsid w:val="00DD798A"/>
    <w:rsid w:val="00DE0F22"/>
    <w:rsid w:val="00DE2E42"/>
    <w:rsid w:val="00DE3C46"/>
    <w:rsid w:val="00DE5F33"/>
    <w:rsid w:val="00E01D1C"/>
    <w:rsid w:val="00E0596A"/>
    <w:rsid w:val="00E07996"/>
    <w:rsid w:val="00E10DFB"/>
    <w:rsid w:val="00E12877"/>
    <w:rsid w:val="00E134EB"/>
    <w:rsid w:val="00E15E6E"/>
    <w:rsid w:val="00E2060B"/>
    <w:rsid w:val="00E2507C"/>
    <w:rsid w:val="00E277CC"/>
    <w:rsid w:val="00E30E0F"/>
    <w:rsid w:val="00E32E32"/>
    <w:rsid w:val="00E33E55"/>
    <w:rsid w:val="00E36355"/>
    <w:rsid w:val="00E374E6"/>
    <w:rsid w:val="00E401B0"/>
    <w:rsid w:val="00E42124"/>
    <w:rsid w:val="00E4213B"/>
    <w:rsid w:val="00E5084C"/>
    <w:rsid w:val="00E514B2"/>
    <w:rsid w:val="00E535BC"/>
    <w:rsid w:val="00E53A54"/>
    <w:rsid w:val="00E65D5C"/>
    <w:rsid w:val="00E6660D"/>
    <w:rsid w:val="00E67479"/>
    <w:rsid w:val="00E71645"/>
    <w:rsid w:val="00E74778"/>
    <w:rsid w:val="00E775E3"/>
    <w:rsid w:val="00E77EDE"/>
    <w:rsid w:val="00E804F4"/>
    <w:rsid w:val="00E837FF"/>
    <w:rsid w:val="00E91E49"/>
    <w:rsid w:val="00E93E71"/>
    <w:rsid w:val="00EB599A"/>
    <w:rsid w:val="00EC2F34"/>
    <w:rsid w:val="00EC5254"/>
    <w:rsid w:val="00ED154A"/>
    <w:rsid w:val="00ED2453"/>
    <w:rsid w:val="00ED6C95"/>
    <w:rsid w:val="00EE78D6"/>
    <w:rsid w:val="00EF0E32"/>
    <w:rsid w:val="00EF3923"/>
    <w:rsid w:val="00EF4EC3"/>
    <w:rsid w:val="00EF5D63"/>
    <w:rsid w:val="00EF7825"/>
    <w:rsid w:val="00F0478E"/>
    <w:rsid w:val="00F05606"/>
    <w:rsid w:val="00F05D72"/>
    <w:rsid w:val="00F06C2C"/>
    <w:rsid w:val="00F06F7D"/>
    <w:rsid w:val="00F07028"/>
    <w:rsid w:val="00F07451"/>
    <w:rsid w:val="00F14BDD"/>
    <w:rsid w:val="00F1507F"/>
    <w:rsid w:val="00F15B16"/>
    <w:rsid w:val="00F15CE9"/>
    <w:rsid w:val="00F220BF"/>
    <w:rsid w:val="00F23CEF"/>
    <w:rsid w:val="00F31598"/>
    <w:rsid w:val="00F31E04"/>
    <w:rsid w:val="00F32A8B"/>
    <w:rsid w:val="00F34E7A"/>
    <w:rsid w:val="00F442C9"/>
    <w:rsid w:val="00F4479E"/>
    <w:rsid w:val="00F44E59"/>
    <w:rsid w:val="00F479E1"/>
    <w:rsid w:val="00F51A31"/>
    <w:rsid w:val="00F54A4D"/>
    <w:rsid w:val="00F54FE3"/>
    <w:rsid w:val="00F55619"/>
    <w:rsid w:val="00F567FC"/>
    <w:rsid w:val="00F56A42"/>
    <w:rsid w:val="00F606EC"/>
    <w:rsid w:val="00F678B7"/>
    <w:rsid w:val="00F71560"/>
    <w:rsid w:val="00F72E0F"/>
    <w:rsid w:val="00F72EBE"/>
    <w:rsid w:val="00F75551"/>
    <w:rsid w:val="00F812D7"/>
    <w:rsid w:val="00F91CB3"/>
    <w:rsid w:val="00F91D13"/>
    <w:rsid w:val="00F92AF8"/>
    <w:rsid w:val="00F93564"/>
    <w:rsid w:val="00F93695"/>
    <w:rsid w:val="00F93AEC"/>
    <w:rsid w:val="00F948AF"/>
    <w:rsid w:val="00FA0B6F"/>
    <w:rsid w:val="00FA6EA4"/>
    <w:rsid w:val="00FC1414"/>
    <w:rsid w:val="00FC29A4"/>
    <w:rsid w:val="00FC3349"/>
    <w:rsid w:val="00FC52BE"/>
    <w:rsid w:val="00FC60EC"/>
    <w:rsid w:val="00FD0DEB"/>
    <w:rsid w:val="00FD0EF2"/>
    <w:rsid w:val="00FD1004"/>
    <w:rsid w:val="00FD14A1"/>
    <w:rsid w:val="00FD1D7C"/>
    <w:rsid w:val="00FD45A6"/>
    <w:rsid w:val="00FD5560"/>
    <w:rsid w:val="00FD7773"/>
    <w:rsid w:val="00FD7C77"/>
    <w:rsid w:val="00FE5FC0"/>
    <w:rsid w:val="00FF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1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911C2"/>
    <w:pPr>
      <w:tabs>
        <w:tab w:val="center" w:pos="4677"/>
        <w:tab w:val="right" w:pos="9355"/>
      </w:tabs>
    </w:pPr>
  </w:style>
  <w:style w:type="character" w:customStyle="1" w:styleId="a4">
    <w:name w:val="Нижний колонтитул Знак"/>
    <w:basedOn w:val="a0"/>
    <w:link w:val="a3"/>
    <w:uiPriority w:val="99"/>
    <w:rsid w:val="00C911C2"/>
    <w:rPr>
      <w:rFonts w:ascii="Times New Roman" w:eastAsia="Times New Roman" w:hAnsi="Times New Roman" w:cs="Times New Roman"/>
      <w:sz w:val="24"/>
      <w:szCs w:val="24"/>
      <w:lang w:eastAsia="ru-RU"/>
    </w:rPr>
  </w:style>
  <w:style w:type="character" w:customStyle="1" w:styleId="hps">
    <w:name w:val="hps"/>
    <w:rsid w:val="00C911C2"/>
  </w:style>
  <w:style w:type="paragraph" w:styleId="a5">
    <w:name w:val="Balloon Text"/>
    <w:basedOn w:val="a"/>
    <w:link w:val="a6"/>
    <w:uiPriority w:val="99"/>
    <w:semiHidden/>
    <w:unhideWhenUsed/>
    <w:rsid w:val="00C911C2"/>
    <w:rPr>
      <w:rFonts w:ascii="Tahoma" w:hAnsi="Tahoma" w:cs="Tahoma"/>
      <w:sz w:val="16"/>
      <w:szCs w:val="16"/>
    </w:rPr>
  </w:style>
  <w:style w:type="character" w:customStyle="1" w:styleId="a6">
    <w:name w:val="Текст выноски Знак"/>
    <w:basedOn w:val="a0"/>
    <w:link w:val="a5"/>
    <w:uiPriority w:val="99"/>
    <w:semiHidden/>
    <w:rsid w:val="00C911C2"/>
    <w:rPr>
      <w:rFonts w:ascii="Tahoma" w:eastAsia="Times New Roman" w:hAnsi="Tahoma" w:cs="Tahoma"/>
      <w:sz w:val="16"/>
      <w:szCs w:val="16"/>
      <w:lang w:eastAsia="ru-RU"/>
    </w:rPr>
  </w:style>
  <w:style w:type="paragraph" w:styleId="a7">
    <w:name w:val="header"/>
    <w:basedOn w:val="a"/>
    <w:link w:val="a8"/>
    <w:uiPriority w:val="99"/>
    <w:semiHidden/>
    <w:unhideWhenUsed/>
    <w:rsid w:val="002E0ED7"/>
    <w:pPr>
      <w:tabs>
        <w:tab w:val="center" w:pos="4677"/>
        <w:tab w:val="right" w:pos="9355"/>
      </w:tabs>
    </w:pPr>
  </w:style>
  <w:style w:type="character" w:customStyle="1" w:styleId="a8">
    <w:name w:val="Верхний колонтитул Знак"/>
    <w:basedOn w:val="a0"/>
    <w:link w:val="a7"/>
    <w:uiPriority w:val="99"/>
    <w:semiHidden/>
    <w:rsid w:val="002E0ED7"/>
    <w:rPr>
      <w:rFonts w:ascii="Times New Roman" w:eastAsia="Times New Roman" w:hAnsi="Times New Roman" w:cs="Times New Roman"/>
      <w:sz w:val="24"/>
      <w:szCs w:val="24"/>
      <w:lang w:eastAsia="ru-RU"/>
    </w:rPr>
  </w:style>
  <w:style w:type="character" w:styleId="a9">
    <w:name w:val="Hyperlink"/>
    <w:basedOn w:val="a0"/>
    <w:uiPriority w:val="99"/>
    <w:unhideWhenUsed/>
    <w:rsid w:val="003B6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lnis@inbox.ru"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2055</Words>
  <Characters>11720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Vostrikova</dc:creator>
  <cp:lastModifiedBy>Admin</cp:lastModifiedBy>
  <cp:revision>12</cp:revision>
  <dcterms:created xsi:type="dcterms:W3CDTF">2013-06-17T02:59:00Z</dcterms:created>
  <dcterms:modified xsi:type="dcterms:W3CDTF">2013-06-28T08:59:00Z</dcterms:modified>
</cp:coreProperties>
</file>