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4679" w:rsidRDefault="00A3650D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УТВЕРЖДЕН</w:t>
      </w:r>
    </w:p>
    <w:p w:rsidR="00E24679" w:rsidRDefault="00A3650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УЧЕНЫМ СОВЕТОМ ИСТОРИЧЕСКОГО ФАКУЛЬТЕТА</w:t>
      </w:r>
    </w:p>
    <w:p w:rsidR="00E24679" w:rsidRDefault="00A3650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Протокол </w:t>
      </w:r>
      <w:r w:rsidR="005D4540">
        <w:rPr>
          <w:rFonts w:ascii="Times New Roman" w:eastAsia="Calibri" w:hAnsi="Times New Roman" w:cs="Times New Roman"/>
          <w:sz w:val="24"/>
          <w:szCs w:val="24"/>
        </w:rPr>
        <w:t>№ 2</w:t>
      </w:r>
      <w:r w:rsidR="005D45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от «</w:t>
      </w:r>
      <w:r w:rsidR="005D4540">
        <w:rPr>
          <w:rFonts w:ascii="Times New Roman" w:eastAsia="Calibri" w:hAnsi="Times New Roman" w:cs="Times New Roman"/>
          <w:sz w:val="24"/>
          <w:szCs w:val="24"/>
        </w:rPr>
        <w:t>2</w:t>
      </w:r>
      <w:r>
        <w:rPr>
          <w:rFonts w:ascii="Times New Roman" w:eastAsia="Calibri" w:hAnsi="Times New Roman" w:cs="Times New Roman"/>
          <w:sz w:val="24"/>
          <w:szCs w:val="24"/>
        </w:rPr>
        <w:t>»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D4540">
        <w:rPr>
          <w:rFonts w:ascii="Times New Roman" w:eastAsia="Calibri" w:hAnsi="Times New Roman" w:cs="Times New Roman"/>
          <w:sz w:val="24"/>
          <w:szCs w:val="24"/>
        </w:rPr>
        <w:t xml:space="preserve">сентября </w:t>
      </w:r>
      <w:r>
        <w:rPr>
          <w:rFonts w:ascii="Times New Roman" w:eastAsia="Calibri" w:hAnsi="Times New Roman" w:cs="Times New Roman"/>
          <w:sz w:val="24"/>
          <w:szCs w:val="24"/>
        </w:rPr>
        <w:t>20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>2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>4</w:t>
      </w:r>
      <w:r>
        <w:rPr>
          <w:rFonts w:ascii="Times New Roman" w:eastAsia="Calibri" w:hAnsi="Times New Roman" w:cs="Times New Roman"/>
          <w:sz w:val="24"/>
          <w:szCs w:val="24"/>
        </w:rPr>
        <w:t xml:space="preserve"> г., </w:t>
      </w:r>
    </w:p>
    <w:p w:rsidR="00E24679" w:rsidRDefault="00E2467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E24679" w:rsidRDefault="00E2467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24679" w:rsidRDefault="00A3650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ПАСПОРТ</w:t>
      </w:r>
    </w:p>
    <w:p w:rsidR="00E24679" w:rsidRDefault="00A3650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НАУЧНОГО ПРОЕКТА «ПУТЬ В ПЕДАГОГИЧЕСКУЮ НАУКУ»</w:t>
      </w:r>
    </w:p>
    <w:p w:rsidR="00E24679" w:rsidRDefault="00E2467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24679" w:rsidRDefault="00A3650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r>
        <w:rPr>
          <w:rFonts w:ascii="Times New Roman" w:eastAsia="Calibri" w:hAnsi="Times New Roman" w:cs="Times New Roman"/>
          <w:sz w:val="24"/>
          <w:szCs w:val="24"/>
        </w:rPr>
        <w:t xml:space="preserve"> Основные положения</w:t>
      </w:r>
    </w:p>
    <w:p w:rsidR="00E24679" w:rsidRDefault="00E2467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24679" w:rsidRDefault="00E2467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14737" w:type="dxa"/>
        <w:tblLook w:val="04A0" w:firstRow="1" w:lastRow="0" w:firstColumn="1" w:lastColumn="0" w:noHBand="0" w:noVBand="1"/>
      </w:tblPr>
      <w:tblGrid>
        <w:gridCol w:w="2830"/>
        <w:gridCol w:w="3840"/>
        <w:gridCol w:w="3765"/>
        <w:gridCol w:w="4302"/>
      </w:tblGrid>
      <w:tr w:rsidR="00E24679">
        <w:tc>
          <w:tcPr>
            <w:tcW w:w="2830" w:type="dxa"/>
          </w:tcPr>
          <w:p w:rsidR="00E24679" w:rsidRDefault="00A365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Краткое наименование проекта</w:t>
            </w:r>
          </w:p>
        </w:tc>
        <w:tc>
          <w:tcPr>
            <w:tcW w:w="3840" w:type="dxa"/>
          </w:tcPr>
          <w:p w:rsidR="00E24679" w:rsidRDefault="00A365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Педагогическая наука</w:t>
            </w:r>
          </w:p>
        </w:tc>
        <w:tc>
          <w:tcPr>
            <w:tcW w:w="3765" w:type="dxa"/>
          </w:tcPr>
          <w:p w:rsidR="00E24679" w:rsidRDefault="00A365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Срок начала и окончания</w:t>
            </w:r>
          </w:p>
        </w:tc>
        <w:tc>
          <w:tcPr>
            <w:tcW w:w="4302" w:type="dxa"/>
          </w:tcPr>
          <w:p w:rsidR="00E24679" w:rsidRDefault="00A365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5D454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.09. 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 –</w:t>
            </w:r>
          </w:p>
          <w:p w:rsidR="00E24679" w:rsidRDefault="00A3650D" w:rsidP="005D45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31.08. 202</w:t>
            </w:r>
            <w:r w:rsidR="005D45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</w:p>
        </w:tc>
      </w:tr>
      <w:tr w:rsidR="00E24679">
        <w:tc>
          <w:tcPr>
            <w:tcW w:w="2830" w:type="dxa"/>
          </w:tcPr>
          <w:p w:rsidR="00E24679" w:rsidRDefault="00A365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 проекта</w:t>
            </w:r>
          </w:p>
        </w:tc>
        <w:tc>
          <w:tcPr>
            <w:tcW w:w="11907" w:type="dxa"/>
            <w:gridSpan w:val="3"/>
          </w:tcPr>
          <w:p w:rsidR="00E24679" w:rsidRDefault="00A365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Воронкова Любовь Викторовна, кандидат педагогических наук, доцент кафедры «Всеобщая история и регионоведения» (руководитель);</w:t>
            </w:r>
          </w:p>
          <w:p w:rsidR="00E24679" w:rsidRDefault="00A365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Чувардин Герман Сергеевич, доктор исторических наук, профессор кафедры «История России»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(соруководитель)</w:t>
            </w:r>
          </w:p>
        </w:tc>
      </w:tr>
      <w:tr w:rsidR="00E24679">
        <w:tc>
          <w:tcPr>
            <w:tcW w:w="2830" w:type="dxa"/>
          </w:tcPr>
          <w:p w:rsidR="00E24679" w:rsidRDefault="00A365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Партнеры</w:t>
            </w:r>
          </w:p>
        </w:tc>
        <w:tc>
          <w:tcPr>
            <w:tcW w:w="11907" w:type="dxa"/>
            <w:gridSpan w:val="3"/>
          </w:tcPr>
          <w:p w:rsidR="00E24679" w:rsidRDefault="00A365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БУ ОО ДПО «Институт развития образования», Региональный Центр оценки качества образования Орловской области, БУОО «Государственный архив Орловской области», МКУК «Орловский краеведческий музей», ОРООО «Педагогическое общество Рос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сии», БУКОО «Орловская областная научная универсальная публичная библиотека им. И. А. Бунина».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Центр по связям с РАО ОГУ имени И.С. Тургенева.</w:t>
            </w:r>
          </w:p>
        </w:tc>
      </w:tr>
    </w:tbl>
    <w:p w:rsidR="00E24679" w:rsidRDefault="00E2467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24679" w:rsidRDefault="00A3650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>II</w:t>
      </w:r>
      <w:r>
        <w:rPr>
          <w:rFonts w:ascii="Times New Roman" w:eastAsia="Calibri" w:hAnsi="Times New Roman" w:cs="Times New Roman"/>
          <w:sz w:val="24"/>
          <w:szCs w:val="24"/>
        </w:rPr>
        <w:t xml:space="preserve"> Цели и целевые показатели проекта</w:t>
      </w:r>
    </w:p>
    <w:p w:rsidR="00E24679" w:rsidRDefault="00E2467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6945"/>
        <w:gridCol w:w="1843"/>
        <w:gridCol w:w="1305"/>
        <w:gridCol w:w="1105"/>
        <w:gridCol w:w="1276"/>
        <w:gridCol w:w="1098"/>
      </w:tblGrid>
      <w:tr w:rsidR="00E24679">
        <w:trPr>
          <w:trHeight w:val="330"/>
        </w:trPr>
        <w:tc>
          <w:tcPr>
            <w:tcW w:w="988" w:type="dxa"/>
            <w:vMerge w:val="restart"/>
          </w:tcPr>
          <w:p w:rsidR="00E24679" w:rsidRDefault="00A365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945" w:type="dxa"/>
            <w:vMerge w:val="restart"/>
          </w:tcPr>
          <w:p w:rsidR="00E24679" w:rsidRDefault="00A365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Цель, </w:t>
            </w:r>
          </w:p>
          <w:p w:rsidR="00E24679" w:rsidRDefault="00A365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Целевые показатели</w:t>
            </w:r>
          </w:p>
        </w:tc>
        <w:tc>
          <w:tcPr>
            <w:tcW w:w="6627" w:type="dxa"/>
            <w:gridSpan w:val="5"/>
          </w:tcPr>
          <w:p w:rsidR="00E24679" w:rsidRDefault="00A365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Значение (по количеству участников в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мероприятиях или % соотношении)</w:t>
            </w:r>
          </w:p>
          <w:p w:rsidR="00E24679" w:rsidRDefault="00E24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24679">
        <w:trPr>
          <w:trHeight w:val="495"/>
        </w:trPr>
        <w:tc>
          <w:tcPr>
            <w:tcW w:w="988" w:type="dxa"/>
            <w:vMerge/>
          </w:tcPr>
          <w:p w:rsidR="00E24679" w:rsidRDefault="00E24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vMerge/>
          </w:tcPr>
          <w:p w:rsidR="00E24679" w:rsidRDefault="00E24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E24679" w:rsidRDefault="00A365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базовое</w:t>
            </w:r>
          </w:p>
        </w:tc>
        <w:tc>
          <w:tcPr>
            <w:tcW w:w="4784" w:type="dxa"/>
            <w:gridSpan w:val="4"/>
          </w:tcPr>
          <w:p w:rsidR="00E24679" w:rsidRDefault="00A365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Планируемое (год)</w:t>
            </w:r>
          </w:p>
        </w:tc>
      </w:tr>
      <w:tr w:rsidR="00E24679">
        <w:tc>
          <w:tcPr>
            <w:tcW w:w="988" w:type="dxa"/>
            <w:vMerge/>
          </w:tcPr>
          <w:p w:rsidR="00E24679" w:rsidRDefault="00E24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vMerge/>
          </w:tcPr>
          <w:p w:rsidR="00E24679" w:rsidRDefault="00E24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24679" w:rsidRDefault="00E24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</w:tcPr>
          <w:p w:rsidR="00E24679" w:rsidRDefault="00A365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05" w:type="dxa"/>
          </w:tcPr>
          <w:p w:rsidR="00E24679" w:rsidRDefault="00A365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E24679" w:rsidRDefault="00A365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98" w:type="dxa"/>
          </w:tcPr>
          <w:p w:rsidR="00E24679" w:rsidRDefault="00A365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</w:tr>
      <w:tr w:rsidR="00E24679">
        <w:tc>
          <w:tcPr>
            <w:tcW w:w="988" w:type="dxa"/>
          </w:tcPr>
          <w:p w:rsidR="00E24679" w:rsidRDefault="00E24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72" w:type="dxa"/>
            <w:gridSpan w:val="6"/>
          </w:tcPr>
          <w:p w:rsidR="00E24679" w:rsidRDefault="00E24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24679">
        <w:tc>
          <w:tcPr>
            <w:tcW w:w="988" w:type="dxa"/>
          </w:tcPr>
          <w:p w:rsidR="00E24679" w:rsidRDefault="00A365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72" w:type="dxa"/>
            <w:gridSpan w:val="6"/>
          </w:tcPr>
          <w:p w:rsidR="00E24679" w:rsidRDefault="00A365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Цель 1: формирование объективного представления и устойчивого интереса обучающихся к педагогической профессии</w:t>
            </w:r>
          </w:p>
        </w:tc>
      </w:tr>
      <w:tr w:rsidR="00E24679">
        <w:tc>
          <w:tcPr>
            <w:tcW w:w="988" w:type="dxa"/>
          </w:tcPr>
          <w:p w:rsidR="00E24679" w:rsidRDefault="00E24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</w:tcPr>
          <w:p w:rsidR="00E24679" w:rsidRDefault="00A365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1.1.Участие в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проведении мероприятий связанных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 освоением педагогического мастерства будущего учителя истории (Мероприятия: беседы, мастер классы, дискуссии, встречи с учителями новаторами)</w:t>
            </w:r>
          </w:p>
        </w:tc>
        <w:tc>
          <w:tcPr>
            <w:tcW w:w="1843" w:type="dxa"/>
          </w:tcPr>
          <w:p w:rsidR="00E24679" w:rsidRDefault="00A365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1305" w:type="dxa"/>
          </w:tcPr>
          <w:p w:rsidR="00E24679" w:rsidRDefault="00A365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105" w:type="dxa"/>
          </w:tcPr>
          <w:p w:rsidR="00E24679" w:rsidRDefault="00A365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276" w:type="dxa"/>
          </w:tcPr>
          <w:p w:rsidR="00E24679" w:rsidRDefault="00A365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098" w:type="dxa"/>
          </w:tcPr>
          <w:p w:rsidR="00E24679" w:rsidRDefault="00A365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65</w:t>
            </w:r>
          </w:p>
        </w:tc>
      </w:tr>
      <w:tr w:rsidR="00E24679">
        <w:tc>
          <w:tcPr>
            <w:tcW w:w="988" w:type="dxa"/>
          </w:tcPr>
          <w:p w:rsidR="00E24679" w:rsidRDefault="00E24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</w:tcPr>
          <w:p w:rsidR="00E24679" w:rsidRDefault="00A365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1.2.Участие в организации и проведении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научно-педагогических конкурсов регионального уровня</w:t>
            </w:r>
          </w:p>
        </w:tc>
        <w:tc>
          <w:tcPr>
            <w:tcW w:w="1843" w:type="dxa"/>
          </w:tcPr>
          <w:p w:rsidR="00E24679" w:rsidRDefault="00A365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05" w:type="dxa"/>
          </w:tcPr>
          <w:p w:rsidR="00E24679" w:rsidRDefault="00A365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05" w:type="dxa"/>
          </w:tcPr>
          <w:p w:rsidR="00E24679" w:rsidRDefault="00A365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:rsidR="00E24679" w:rsidRDefault="00A365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098" w:type="dxa"/>
          </w:tcPr>
          <w:p w:rsidR="00E24679" w:rsidRDefault="00A365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</w:tr>
      <w:tr w:rsidR="00E24679">
        <w:tc>
          <w:tcPr>
            <w:tcW w:w="988" w:type="dxa"/>
          </w:tcPr>
          <w:p w:rsidR="00E24679" w:rsidRDefault="00E24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</w:tcPr>
          <w:p w:rsidR="00E24679" w:rsidRDefault="00A365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1.3.Участие в организации и проведении научно-педагогических конкурсов всероссийского уровня</w:t>
            </w:r>
          </w:p>
        </w:tc>
        <w:tc>
          <w:tcPr>
            <w:tcW w:w="1843" w:type="dxa"/>
          </w:tcPr>
          <w:p w:rsidR="00E24679" w:rsidRDefault="00A365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05" w:type="dxa"/>
          </w:tcPr>
          <w:p w:rsidR="00E24679" w:rsidRDefault="00A365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05" w:type="dxa"/>
          </w:tcPr>
          <w:p w:rsidR="00E24679" w:rsidRDefault="00A365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:rsidR="00E24679" w:rsidRDefault="00A365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098" w:type="dxa"/>
          </w:tcPr>
          <w:p w:rsidR="00E24679" w:rsidRDefault="00A365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</w:tr>
      <w:tr w:rsidR="00E24679">
        <w:tc>
          <w:tcPr>
            <w:tcW w:w="988" w:type="dxa"/>
          </w:tcPr>
          <w:p w:rsidR="00E24679" w:rsidRDefault="00E24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</w:tcPr>
          <w:p w:rsidR="00E24679" w:rsidRDefault="00A365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1.4.Участие в организации и проведении научно-педагогических конкурсов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международного уровня</w:t>
            </w:r>
          </w:p>
        </w:tc>
        <w:tc>
          <w:tcPr>
            <w:tcW w:w="1843" w:type="dxa"/>
          </w:tcPr>
          <w:p w:rsidR="00E24679" w:rsidRDefault="00A365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5" w:type="dxa"/>
          </w:tcPr>
          <w:p w:rsidR="00E24679" w:rsidRDefault="00A365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05" w:type="dxa"/>
          </w:tcPr>
          <w:p w:rsidR="00E24679" w:rsidRDefault="00A365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E24679" w:rsidRDefault="00A365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98" w:type="dxa"/>
          </w:tcPr>
          <w:p w:rsidR="00E24679" w:rsidRDefault="00A365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</w:tr>
      <w:tr w:rsidR="00E24679">
        <w:tc>
          <w:tcPr>
            <w:tcW w:w="988" w:type="dxa"/>
          </w:tcPr>
          <w:p w:rsidR="00E24679" w:rsidRDefault="00A365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3572" w:type="dxa"/>
            <w:gridSpan w:val="6"/>
          </w:tcPr>
          <w:p w:rsidR="00E24679" w:rsidRDefault="00A365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Цель 2. формирование методологических знаний и навыков проведения научного исследования в сфере педагогики как отрасли научного знания, мотивация научной деятельности</w:t>
            </w:r>
          </w:p>
        </w:tc>
      </w:tr>
      <w:tr w:rsidR="00E24679">
        <w:tc>
          <w:tcPr>
            <w:tcW w:w="988" w:type="dxa"/>
          </w:tcPr>
          <w:p w:rsidR="00E24679" w:rsidRDefault="00E24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</w:tcPr>
          <w:p w:rsidR="00E24679" w:rsidRDefault="00A365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2.1 Привлечение участников проекта к обучающему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научному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семинару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«Методология педагогического исследования»</w:t>
            </w:r>
          </w:p>
        </w:tc>
        <w:tc>
          <w:tcPr>
            <w:tcW w:w="1843" w:type="dxa"/>
          </w:tcPr>
          <w:p w:rsidR="00E24679" w:rsidRDefault="00A365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305" w:type="dxa"/>
          </w:tcPr>
          <w:p w:rsidR="00E24679" w:rsidRDefault="00A365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05" w:type="dxa"/>
          </w:tcPr>
          <w:p w:rsidR="00E24679" w:rsidRDefault="00A365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276" w:type="dxa"/>
          </w:tcPr>
          <w:p w:rsidR="00E24679" w:rsidRDefault="00A365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098" w:type="dxa"/>
          </w:tcPr>
          <w:p w:rsidR="00E24679" w:rsidRDefault="00A365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</w:tr>
      <w:tr w:rsidR="00E24679">
        <w:tc>
          <w:tcPr>
            <w:tcW w:w="988" w:type="dxa"/>
          </w:tcPr>
          <w:p w:rsidR="00E24679" w:rsidRDefault="00E24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</w:tcPr>
          <w:p w:rsidR="00E24679" w:rsidRDefault="00A365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2.2.Проведение научных исследований по актуальным проблемам исторического образования</w:t>
            </w:r>
          </w:p>
        </w:tc>
        <w:tc>
          <w:tcPr>
            <w:tcW w:w="1843" w:type="dxa"/>
          </w:tcPr>
          <w:p w:rsidR="00E24679" w:rsidRDefault="00A365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305" w:type="dxa"/>
          </w:tcPr>
          <w:p w:rsidR="00E24679" w:rsidRDefault="00A365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105" w:type="dxa"/>
          </w:tcPr>
          <w:p w:rsidR="00E24679" w:rsidRDefault="00A365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276" w:type="dxa"/>
          </w:tcPr>
          <w:p w:rsidR="00E24679" w:rsidRDefault="00A365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098" w:type="dxa"/>
          </w:tcPr>
          <w:p w:rsidR="00E24679" w:rsidRDefault="00A365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70</w:t>
            </w:r>
          </w:p>
        </w:tc>
      </w:tr>
      <w:tr w:rsidR="00E24679">
        <w:tc>
          <w:tcPr>
            <w:tcW w:w="988" w:type="dxa"/>
          </w:tcPr>
          <w:p w:rsidR="00E24679" w:rsidRDefault="00E24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</w:tcPr>
          <w:p w:rsidR="00E24679" w:rsidRDefault="00A365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2.3.Продолжение обучения в магистратуре</w:t>
            </w:r>
          </w:p>
        </w:tc>
        <w:tc>
          <w:tcPr>
            <w:tcW w:w="1843" w:type="dxa"/>
          </w:tcPr>
          <w:p w:rsidR="00E24679" w:rsidRDefault="00A365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05" w:type="dxa"/>
          </w:tcPr>
          <w:p w:rsidR="00E24679" w:rsidRDefault="00A365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05" w:type="dxa"/>
          </w:tcPr>
          <w:p w:rsidR="00E24679" w:rsidRDefault="00A365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</w:tcPr>
          <w:p w:rsidR="00E24679" w:rsidRDefault="00A365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8" w:type="dxa"/>
          </w:tcPr>
          <w:p w:rsidR="00E24679" w:rsidRDefault="00A365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E24679">
        <w:tc>
          <w:tcPr>
            <w:tcW w:w="988" w:type="dxa"/>
          </w:tcPr>
          <w:p w:rsidR="00E24679" w:rsidRDefault="00E24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</w:tcPr>
          <w:p w:rsidR="00E24679" w:rsidRDefault="00A365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2.4.Продолжение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обучения в аспирантуре</w:t>
            </w:r>
          </w:p>
        </w:tc>
        <w:tc>
          <w:tcPr>
            <w:tcW w:w="1843" w:type="dxa"/>
          </w:tcPr>
          <w:p w:rsidR="00E24679" w:rsidRDefault="00A365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5" w:type="dxa"/>
          </w:tcPr>
          <w:p w:rsidR="00E24679" w:rsidRDefault="00A365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5" w:type="dxa"/>
          </w:tcPr>
          <w:p w:rsidR="00E24679" w:rsidRDefault="00A365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E24679" w:rsidRDefault="00A365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8" w:type="dxa"/>
          </w:tcPr>
          <w:p w:rsidR="00E24679" w:rsidRDefault="00A365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24679">
        <w:tc>
          <w:tcPr>
            <w:tcW w:w="988" w:type="dxa"/>
          </w:tcPr>
          <w:p w:rsidR="00E24679" w:rsidRDefault="00A365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3572" w:type="dxa"/>
            <w:gridSpan w:val="6"/>
          </w:tcPr>
          <w:p w:rsidR="00E24679" w:rsidRDefault="00A365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Цель 3: раскрытие и развитие научного потенциала обучающихся в сфере педагогики как отрасли научного знания</w:t>
            </w:r>
          </w:p>
        </w:tc>
      </w:tr>
      <w:tr w:rsidR="00E24679">
        <w:tc>
          <w:tcPr>
            <w:tcW w:w="988" w:type="dxa"/>
          </w:tcPr>
          <w:p w:rsidR="00E24679" w:rsidRDefault="00E24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</w:tcPr>
          <w:p w:rsidR="00E24679" w:rsidRDefault="00A365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3.1. Апробация и внедрение полученных научных результатов в образовательные учреждения </w:t>
            </w:r>
          </w:p>
        </w:tc>
        <w:tc>
          <w:tcPr>
            <w:tcW w:w="1843" w:type="dxa"/>
          </w:tcPr>
          <w:p w:rsidR="00E24679" w:rsidRDefault="00A365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305" w:type="dxa"/>
          </w:tcPr>
          <w:p w:rsidR="00E24679" w:rsidRDefault="00A365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45 </w:t>
            </w:r>
          </w:p>
        </w:tc>
        <w:tc>
          <w:tcPr>
            <w:tcW w:w="1105" w:type="dxa"/>
          </w:tcPr>
          <w:p w:rsidR="00E24679" w:rsidRDefault="00A365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276" w:type="dxa"/>
          </w:tcPr>
          <w:p w:rsidR="00E24679" w:rsidRDefault="00A365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098" w:type="dxa"/>
          </w:tcPr>
          <w:p w:rsidR="00E24679" w:rsidRDefault="00A365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70</w:t>
            </w:r>
          </w:p>
        </w:tc>
      </w:tr>
      <w:tr w:rsidR="00E24679">
        <w:tc>
          <w:tcPr>
            <w:tcW w:w="988" w:type="dxa"/>
          </w:tcPr>
          <w:p w:rsidR="00E24679" w:rsidRDefault="00E24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</w:tcPr>
          <w:p w:rsidR="00E24679" w:rsidRDefault="00A365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3.2. Уровень публикационной активности студентов в</w:t>
            </w:r>
          </w:p>
          <w:p w:rsidR="00E24679" w:rsidRDefault="00A365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изданиях ВАК</w:t>
            </w:r>
          </w:p>
        </w:tc>
        <w:tc>
          <w:tcPr>
            <w:tcW w:w="1843" w:type="dxa"/>
          </w:tcPr>
          <w:p w:rsidR="00E24679" w:rsidRDefault="00A365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05" w:type="dxa"/>
          </w:tcPr>
          <w:p w:rsidR="00E24679" w:rsidRDefault="00A365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05" w:type="dxa"/>
          </w:tcPr>
          <w:p w:rsidR="00E24679" w:rsidRDefault="00A365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E24679" w:rsidRDefault="00A365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98" w:type="dxa"/>
          </w:tcPr>
          <w:p w:rsidR="00E24679" w:rsidRDefault="00A365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</w:tr>
      <w:tr w:rsidR="00E24679">
        <w:tc>
          <w:tcPr>
            <w:tcW w:w="988" w:type="dxa"/>
          </w:tcPr>
          <w:p w:rsidR="00E24679" w:rsidRDefault="00E24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</w:tcPr>
          <w:p w:rsidR="00E24679" w:rsidRDefault="00A365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3.3. Уровень публикационной активности студентов в</w:t>
            </w:r>
          </w:p>
          <w:p w:rsidR="00E24679" w:rsidRDefault="00A365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изданиях РИНЦ</w:t>
            </w:r>
          </w:p>
        </w:tc>
        <w:tc>
          <w:tcPr>
            <w:tcW w:w="1843" w:type="dxa"/>
          </w:tcPr>
          <w:p w:rsidR="00E24679" w:rsidRDefault="00A365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05" w:type="dxa"/>
          </w:tcPr>
          <w:p w:rsidR="00E24679" w:rsidRDefault="00A365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05" w:type="dxa"/>
          </w:tcPr>
          <w:p w:rsidR="00E24679" w:rsidRDefault="00A365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76" w:type="dxa"/>
          </w:tcPr>
          <w:p w:rsidR="00E24679" w:rsidRDefault="00A365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098" w:type="dxa"/>
          </w:tcPr>
          <w:p w:rsidR="00E24679" w:rsidRDefault="00A365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</w:tr>
      <w:tr w:rsidR="00E24679">
        <w:tc>
          <w:tcPr>
            <w:tcW w:w="988" w:type="dxa"/>
          </w:tcPr>
          <w:p w:rsidR="00E24679" w:rsidRDefault="00E24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</w:tcPr>
          <w:p w:rsidR="00E24679" w:rsidRDefault="00A365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3.4. Участие в организации и проведении научных семинаров, круглых столов регионального,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всероссийского и международного уровней</w:t>
            </w:r>
          </w:p>
        </w:tc>
        <w:tc>
          <w:tcPr>
            <w:tcW w:w="1843" w:type="dxa"/>
          </w:tcPr>
          <w:p w:rsidR="00E24679" w:rsidRDefault="00A365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5" w:type="dxa"/>
          </w:tcPr>
          <w:p w:rsidR="00E24679" w:rsidRDefault="00A365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5" w:type="dxa"/>
          </w:tcPr>
          <w:p w:rsidR="00E24679" w:rsidRDefault="00A365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E24679" w:rsidRDefault="00A365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8" w:type="dxa"/>
          </w:tcPr>
          <w:p w:rsidR="00E24679" w:rsidRDefault="00A365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E24679">
        <w:tc>
          <w:tcPr>
            <w:tcW w:w="988" w:type="dxa"/>
          </w:tcPr>
          <w:p w:rsidR="00E24679" w:rsidRDefault="00E24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</w:tcPr>
          <w:p w:rsidR="00E24679" w:rsidRDefault="00A365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3.5. Участие в организации и проведении научных конференций регионального уровня</w:t>
            </w:r>
          </w:p>
        </w:tc>
        <w:tc>
          <w:tcPr>
            <w:tcW w:w="1843" w:type="dxa"/>
          </w:tcPr>
          <w:p w:rsidR="00E24679" w:rsidRDefault="00A365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05" w:type="dxa"/>
          </w:tcPr>
          <w:p w:rsidR="00E24679" w:rsidRDefault="00A365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05" w:type="dxa"/>
          </w:tcPr>
          <w:p w:rsidR="00E24679" w:rsidRDefault="00A365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76" w:type="dxa"/>
          </w:tcPr>
          <w:p w:rsidR="00E24679" w:rsidRDefault="00A365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098" w:type="dxa"/>
          </w:tcPr>
          <w:p w:rsidR="00E24679" w:rsidRDefault="00A365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</w:p>
        </w:tc>
      </w:tr>
      <w:tr w:rsidR="00E24679">
        <w:tc>
          <w:tcPr>
            <w:tcW w:w="988" w:type="dxa"/>
          </w:tcPr>
          <w:p w:rsidR="00E24679" w:rsidRDefault="00E24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</w:tcPr>
          <w:p w:rsidR="00E24679" w:rsidRDefault="00A365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3.6. участие в организации и проведении научных конференций всероссийского и международного уровней</w:t>
            </w:r>
          </w:p>
        </w:tc>
        <w:tc>
          <w:tcPr>
            <w:tcW w:w="1843" w:type="dxa"/>
          </w:tcPr>
          <w:p w:rsidR="00E24679" w:rsidRDefault="00A365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05" w:type="dxa"/>
          </w:tcPr>
          <w:p w:rsidR="00E24679" w:rsidRDefault="00A365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05" w:type="dxa"/>
          </w:tcPr>
          <w:p w:rsidR="00E24679" w:rsidRDefault="00A365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:rsidR="00E24679" w:rsidRDefault="00A365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098" w:type="dxa"/>
          </w:tcPr>
          <w:p w:rsidR="00E24679" w:rsidRDefault="00A365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</w:tr>
      <w:tr w:rsidR="00E24679">
        <w:tc>
          <w:tcPr>
            <w:tcW w:w="988" w:type="dxa"/>
          </w:tcPr>
          <w:p w:rsidR="00E24679" w:rsidRDefault="00A365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3572" w:type="dxa"/>
            <w:gridSpan w:val="6"/>
          </w:tcPr>
          <w:p w:rsidR="00E24679" w:rsidRDefault="00A365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Цель 4. востребованность выпускников на рынке труда, закрепление профессиональных педагогических кадров</w:t>
            </w:r>
          </w:p>
        </w:tc>
      </w:tr>
      <w:tr w:rsidR="00E24679">
        <w:tc>
          <w:tcPr>
            <w:tcW w:w="988" w:type="dxa"/>
          </w:tcPr>
          <w:p w:rsidR="00E24679" w:rsidRDefault="00E24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</w:tcPr>
          <w:p w:rsidR="00E24679" w:rsidRDefault="00A365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4.1. Закрепление выпускников в профессии (сфера образования)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на Орловщине</w:t>
            </w:r>
          </w:p>
        </w:tc>
        <w:tc>
          <w:tcPr>
            <w:tcW w:w="1843" w:type="dxa"/>
          </w:tcPr>
          <w:p w:rsidR="00E24679" w:rsidRDefault="00A365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82%</w:t>
            </w:r>
          </w:p>
        </w:tc>
        <w:tc>
          <w:tcPr>
            <w:tcW w:w="1305" w:type="dxa"/>
          </w:tcPr>
          <w:p w:rsidR="00E24679" w:rsidRDefault="00A365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85%</w:t>
            </w:r>
          </w:p>
        </w:tc>
        <w:tc>
          <w:tcPr>
            <w:tcW w:w="1105" w:type="dxa"/>
          </w:tcPr>
          <w:p w:rsidR="00E24679" w:rsidRDefault="00A365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90%</w:t>
            </w:r>
          </w:p>
        </w:tc>
        <w:tc>
          <w:tcPr>
            <w:tcW w:w="1276" w:type="dxa"/>
          </w:tcPr>
          <w:p w:rsidR="00E24679" w:rsidRDefault="00A365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90%</w:t>
            </w:r>
          </w:p>
        </w:tc>
        <w:tc>
          <w:tcPr>
            <w:tcW w:w="1098" w:type="dxa"/>
          </w:tcPr>
          <w:p w:rsidR="00E24679" w:rsidRDefault="00A365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90%</w:t>
            </w:r>
          </w:p>
        </w:tc>
      </w:tr>
    </w:tbl>
    <w:p w:rsidR="00E24679" w:rsidRDefault="00E2467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p w:rsidR="00E24679" w:rsidRDefault="00A3650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III </w:t>
      </w:r>
      <w:r>
        <w:rPr>
          <w:rFonts w:ascii="Times New Roman" w:eastAsia="Calibri" w:hAnsi="Times New Roman" w:cs="Times New Roman"/>
          <w:sz w:val="24"/>
          <w:szCs w:val="24"/>
        </w:rPr>
        <w:t>Структура проекта</w:t>
      </w:r>
    </w:p>
    <w:p w:rsidR="00E24679" w:rsidRDefault="00E2467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4820"/>
        <w:gridCol w:w="2126"/>
        <w:gridCol w:w="6910"/>
      </w:tblGrid>
      <w:tr w:rsidR="00E24679">
        <w:tc>
          <w:tcPr>
            <w:tcW w:w="704" w:type="dxa"/>
          </w:tcPr>
          <w:p w:rsidR="00E24679" w:rsidRDefault="00A365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820" w:type="dxa"/>
          </w:tcPr>
          <w:p w:rsidR="00E24679" w:rsidRDefault="00A365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Подпроекты</w:t>
            </w:r>
          </w:p>
        </w:tc>
        <w:tc>
          <w:tcPr>
            <w:tcW w:w="2126" w:type="dxa"/>
          </w:tcPr>
          <w:p w:rsidR="00E24679" w:rsidRDefault="00A365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Сроки реализации</w:t>
            </w:r>
          </w:p>
        </w:tc>
        <w:tc>
          <w:tcPr>
            <w:tcW w:w="6910" w:type="dxa"/>
          </w:tcPr>
          <w:p w:rsidR="00E24679" w:rsidRDefault="00A365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Партнёры</w:t>
            </w:r>
          </w:p>
        </w:tc>
      </w:tr>
      <w:tr w:rsidR="00E24679">
        <w:tc>
          <w:tcPr>
            <w:tcW w:w="704" w:type="dxa"/>
          </w:tcPr>
          <w:p w:rsidR="00E24679" w:rsidRDefault="00A365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20" w:type="dxa"/>
          </w:tcPr>
          <w:p w:rsidR="00E24679" w:rsidRDefault="00A365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Педагогика вне шаблона</w:t>
            </w:r>
          </w:p>
        </w:tc>
        <w:tc>
          <w:tcPr>
            <w:tcW w:w="2126" w:type="dxa"/>
            <w:vMerge w:val="restart"/>
          </w:tcPr>
          <w:p w:rsidR="00E24679" w:rsidRDefault="00E24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24679" w:rsidRDefault="00E24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24679" w:rsidRDefault="00E24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24679" w:rsidRDefault="00A365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01.09. 202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 –</w:t>
            </w:r>
          </w:p>
          <w:p w:rsidR="00E24679" w:rsidRDefault="00A365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31.08. 202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  <w:p w:rsidR="00E24679" w:rsidRDefault="00E24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10" w:type="dxa"/>
          </w:tcPr>
          <w:p w:rsidR="00E24679" w:rsidRDefault="00A365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БУОО «Государственный архив Орловской области», МКУК «Орловский краеведческий музей», ОРООО «Педагогическое общество России», БУКОО «Орловская областная научная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универсальная публичная библиотека им. И. А. Бунина»</w:t>
            </w:r>
          </w:p>
        </w:tc>
      </w:tr>
      <w:tr w:rsidR="00E24679">
        <w:tc>
          <w:tcPr>
            <w:tcW w:w="704" w:type="dxa"/>
          </w:tcPr>
          <w:p w:rsidR="00E24679" w:rsidRDefault="00A365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20" w:type="dxa"/>
          </w:tcPr>
          <w:p w:rsidR="00E24679" w:rsidRDefault="00A365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Открытая наука </w:t>
            </w:r>
          </w:p>
          <w:p w:rsidR="00E24679" w:rsidRDefault="00E24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E24679" w:rsidRDefault="00E24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10" w:type="dxa"/>
          </w:tcPr>
          <w:p w:rsidR="00E24679" w:rsidRDefault="00A365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БУ ОО ДПО «Институт развития образования», Лаборатория сельской школы ФГБОУ ВО «Орловский государственный университет имени И.С. Тургенева»</w:t>
            </w:r>
          </w:p>
        </w:tc>
      </w:tr>
      <w:tr w:rsidR="00E24679">
        <w:tc>
          <w:tcPr>
            <w:tcW w:w="704" w:type="dxa"/>
          </w:tcPr>
          <w:p w:rsidR="00E24679" w:rsidRDefault="00A365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20" w:type="dxa"/>
          </w:tcPr>
          <w:p w:rsidR="00E24679" w:rsidRDefault="00A365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Малая Родина – точка входа в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профессию</w:t>
            </w:r>
          </w:p>
        </w:tc>
        <w:tc>
          <w:tcPr>
            <w:tcW w:w="2126" w:type="dxa"/>
            <w:vMerge/>
          </w:tcPr>
          <w:p w:rsidR="00E24679" w:rsidRDefault="00E24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10" w:type="dxa"/>
          </w:tcPr>
          <w:p w:rsidR="00E24679" w:rsidRDefault="00A365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БУ ОО ДПО «Институт развития образования», Региональный Центр оценки качества образования Орловской области.</w:t>
            </w:r>
          </w:p>
        </w:tc>
      </w:tr>
    </w:tbl>
    <w:p w:rsidR="00E24679" w:rsidRDefault="00E2467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24679" w:rsidRDefault="00A3650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Дополнительная информация</w:t>
      </w:r>
    </w:p>
    <w:p w:rsidR="00E24679" w:rsidRDefault="00A3650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Проект направлен на формирование объективного представления и устойчивого интереса обучающихся к </w:t>
      </w:r>
      <w:r>
        <w:rPr>
          <w:rFonts w:ascii="Times New Roman" w:eastAsia="Calibri" w:hAnsi="Times New Roman" w:cs="Times New Roman"/>
          <w:sz w:val="24"/>
          <w:szCs w:val="24"/>
        </w:rPr>
        <w:t>педагогической профессии, методологических знаний и навыков проведения научного исследования в сфере педагогики как отрасли научного знания, мотивацию к научной деятельности, раскрытие и развитие научного потенциала обучающихся в сфере педагогики как отрас</w:t>
      </w:r>
      <w:r>
        <w:rPr>
          <w:rFonts w:ascii="Times New Roman" w:eastAsia="Calibri" w:hAnsi="Times New Roman" w:cs="Times New Roman"/>
          <w:sz w:val="24"/>
          <w:szCs w:val="24"/>
        </w:rPr>
        <w:t>ли научного знания, востребованности выпускников на рынке труда, закрепление профессиональных педагогических кадров на Орловщине.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В целях обеспечения проекта предусмотрено проведение научных, научно-практических мероприятий и творческих конкурсов различног</w:t>
      </w:r>
      <w:r>
        <w:rPr>
          <w:rFonts w:ascii="Times New Roman" w:eastAsia="Calibri" w:hAnsi="Times New Roman" w:cs="Times New Roman"/>
          <w:sz w:val="24"/>
          <w:szCs w:val="24"/>
        </w:rPr>
        <w:t>о уровня и форм, обучающих семинаров.</w:t>
      </w:r>
    </w:p>
    <w:p w:rsidR="00E24679" w:rsidRDefault="00A3650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Особое внимание будет уделено выявлению и привлечению талантливой </w:t>
      </w:r>
      <w:r>
        <w:rPr>
          <w:rFonts w:ascii="Times New Roman" w:eastAsia="Calibri" w:hAnsi="Times New Roman" w:cs="Times New Roman"/>
          <w:sz w:val="24"/>
          <w:szCs w:val="24"/>
        </w:rPr>
        <w:t>молодёжи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к научной деятельности.</w:t>
      </w:r>
    </w:p>
    <w:p w:rsidR="00E24679" w:rsidRDefault="00A3650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Проект носит системный характер, что обеспечивает достижение поставленных целей.</w:t>
      </w:r>
    </w:p>
    <w:p w:rsidR="00E24679" w:rsidRDefault="00E2467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24679" w:rsidRDefault="00E2467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sectPr w:rsidR="00E2467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650D" w:rsidRDefault="00A3650D">
      <w:pPr>
        <w:spacing w:line="240" w:lineRule="auto"/>
      </w:pPr>
      <w:r>
        <w:separator/>
      </w:r>
    </w:p>
  </w:endnote>
  <w:endnote w:type="continuationSeparator" w:id="0">
    <w:p w:rsidR="00A3650D" w:rsidRDefault="00A3650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650D" w:rsidRDefault="00A3650D">
      <w:pPr>
        <w:spacing w:after="0"/>
      </w:pPr>
      <w:r>
        <w:separator/>
      </w:r>
    </w:p>
  </w:footnote>
  <w:footnote w:type="continuationSeparator" w:id="0">
    <w:p w:rsidR="00A3650D" w:rsidRDefault="00A3650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553"/>
    <w:rsid w:val="000649A7"/>
    <w:rsid w:val="002A7B3A"/>
    <w:rsid w:val="005137E5"/>
    <w:rsid w:val="00550553"/>
    <w:rsid w:val="005D4540"/>
    <w:rsid w:val="008E7764"/>
    <w:rsid w:val="00A3650D"/>
    <w:rsid w:val="00AD735A"/>
    <w:rsid w:val="00B126FC"/>
    <w:rsid w:val="00B75656"/>
    <w:rsid w:val="00BB5EC0"/>
    <w:rsid w:val="00C93958"/>
    <w:rsid w:val="00E24679"/>
    <w:rsid w:val="00F3040C"/>
    <w:rsid w:val="00FE2F3D"/>
    <w:rsid w:val="01D503DF"/>
    <w:rsid w:val="0FB00B3D"/>
    <w:rsid w:val="227958C8"/>
    <w:rsid w:val="2CEA7901"/>
    <w:rsid w:val="3467553D"/>
    <w:rsid w:val="38EF7472"/>
    <w:rsid w:val="492F0781"/>
    <w:rsid w:val="5AEB44B6"/>
    <w:rsid w:val="646B3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D4D76"/>
  <w15:docId w15:val="{AFCA908C-8808-4055-AE16-48F1E7267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705</Words>
  <Characters>4020</Characters>
  <Application>Microsoft Office Word</Application>
  <DocSecurity>0</DocSecurity>
  <Lines>33</Lines>
  <Paragraphs>9</Paragraphs>
  <ScaleCrop>false</ScaleCrop>
  <Company/>
  <LinksUpToDate>false</LinksUpToDate>
  <CharactersWithSpaces>4716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2020-10-05T06:44:00Z</dcterms:created>
  <dcterms:modified xsi:type="dcterms:W3CDTF">2024-10-21T11:33:00Z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E1D401CE55D4446498D9F79D42445021_13</vt:lpwstr>
  </property>
</Properties>
</file>