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FC" w:rsidRPr="00B126FC" w:rsidRDefault="00B126FC" w:rsidP="00B126F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26FC"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</w:p>
    <w:p w:rsidR="00B126FC" w:rsidRPr="00B126FC" w:rsidRDefault="00B126FC" w:rsidP="00B126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</w:rPr>
        <w:t>УЧЕНЫМ СОВЕТОМ ИСТОРИЧЕСКОГО ФАКУЛЬТЕТА</w:t>
      </w:r>
    </w:p>
    <w:p w:rsidR="00B126FC" w:rsidRPr="00B126FC" w:rsidRDefault="00B126FC" w:rsidP="00B126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</w:rPr>
        <w:t>Протокол от «</w:t>
      </w:r>
      <w:r w:rsidR="002A7B3A" w:rsidRPr="002A7B3A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Pr="00B126F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A7B3A" w:rsidRPr="002A7B3A">
        <w:rPr>
          <w:rFonts w:ascii="Times New Roman" w:eastAsia="Calibri" w:hAnsi="Times New Roman" w:cs="Times New Roman"/>
          <w:sz w:val="24"/>
          <w:szCs w:val="24"/>
          <w:u w:val="single"/>
        </w:rPr>
        <w:t>октября</w:t>
      </w:r>
      <w:r w:rsidRPr="00B126FC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2A7B3A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Pr="00B126FC">
        <w:rPr>
          <w:rFonts w:ascii="Times New Roman" w:eastAsia="Calibri" w:hAnsi="Times New Roman" w:cs="Times New Roman"/>
          <w:sz w:val="24"/>
          <w:szCs w:val="24"/>
        </w:rPr>
        <w:t xml:space="preserve"> г., № </w:t>
      </w:r>
      <w:r w:rsidR="002A7B3A" w:rsidRPr="002A7B3A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</w:p>
    <w:p w:rsidR="00B126FC" w:rsidRPr="00B126FC" w:rsidRDefault="00B126FC" w:rsidP="00B126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137E5" w:rsidRDefault="005137E5" w:rsidP="00B12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26FC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</w:rPr>
        <w:t>НАУЧНОГО ПРОЕКТА «ПУТЬ В ПЕДАГОГИЧЕСКУЮ НАУКУ»</w:t>
      </w: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A7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26FC">
        <w:rPr>
          <w:rFonts w:ascii="Times New Roman" w:eastAsia="Calibri" w:hAnsi="Times New Roman" w:cs="Times New Roman"/>
          <w:sz w:val="24"/>
          <w:szCs w:val="24"/>
        </w:rPr>
        <w:t>Основные положения</w:t>
      </w:r>
    </w:p>
    <w:p w:rsid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37E5" w:rsidRPr="00B126FC" w:rsidRDefault="005137E5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302"/>
      </w:tblGrid>
      <w:tr w:rsidR="00B126FC" w:rsidRPr="00B126FC" w:rsidTr="00532B49">
        <w:tc>
          <w:tcPr>
            <w:tcW w:w="283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наука</w:t>
            </w:r>
          </w:p>
        </w:tc>
        <w:tc>
          <w:tcPr>
            <w:tcW w:w="376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302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01.09. 2020 г. –</w:t>
            </w: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31.08. 2024 г.</w:t>
            </w:r>
          </w:p>
        </w:tc>
      </w:tr>
      <w:tr w:rsidR="00B126FC" w:rsidRPr="00B126FC" w:rsidTr="00532B49">
        <w:tc>
          <w:tcPr>
            <w:tcW w:w="2830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907" w:type="dxa"/>
            <w:gridSpan w:val="3"/>
          </w:tcPr>
          <w:p w:rsid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Воронкова Любовь Викторовна, кандидат педагогических наук, доцент кафедры «Всеобщая история и регионоведения»</w:t>
            </w:r>
            <w:r w:rsidR="008E7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(руководитель);</w:t>
            </w:r>
          </w:p>
          <w:p w:rsidR="008E7764" w:rsidRPr="00B126FC" w:rsidRDefault="008E7764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Чувардин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Герман Сергеевич, доктор исторических наук, профессор кафедры «История России» (соруководитель)</w:t>
            </w:r>
            <w:bookmarkStart w:id="0" w:name="_GoBack"/>
            <w:bookmarkEnd w:id="0"/>
          </w:p>
        </w:tc>
      </w:tr>
      <w:tr w:rsidR="00B126FC" w:rsidRPr="00B126FC" w:rsidTr="00532B49">
        <w:tc>
          <w:tcPr>
            <w:tcW w:w="2830" w:type="dxa"/>
          </w:tcPr>
          <w:p w:rsidR="00B126FC" w:rsidRPr="00B126FC" w:rsidRDefault="00BB5EC0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126FC"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артнеры</w:t>
            </w:r>
          </w:p>
        </w:tc>
        <w:tc>
          <w:tcPr>
            <w:tcW w:w="11907" w:type="dxa"/>
            <w:gridSpan w:val="3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ОО ДПО «Институт развития образования», Региональный Центр оценки качества образования Орловской области, БУОО «Государственный архив Орловской области», МКУК «Орловский краеведческий музей», ОРООО «Педагогическое общество России», БУКОО «Орловская областная научная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универсальная публичная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им. И. А. Бунина»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126FC">
        <w:rPr>
          <w:rFonts w:ascii="Times New Roman" w:eastAsia="Calibri" w:hAnsi="Times New Roman" w:cs="Times New Roman"/>
          <w:sz w:val="24"/>
          <w:szCs w:val="24"/>
        </w:rPr>
        <w:t xml:space="preserve"> Цели и целевые показатели проекта</w:t>
      </w:r>
    </w:p>
    <w:p w:rsidR="005137E5" w:rsidRPr="00B126FC" w:rsidRDefault="005137E5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105"/>
        <w:gridCol w:w="1276"/>
        <w:gridCol w:w="1098"/>
      </w:tblGrid>
      <w:tr w:rsidR="00B126FC" w:rsidRPr="00B126FC" w:rsidTr="00532B49">
        <w:trPr>
          <w:trHeight w:val="330"/>
        </w:trPr>
        <w:tc>
          <w:tcPr>
            <w:tcW w:w="988" w:type="dxa"/>
            <w:vMerge w:val="restart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</w:t>
            </w:r>
          </w:p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(по количеству участников в мероприятиях или % соотношении)</w:t>
            </w: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6FC" w:rsidRPr="00B126FC" w:rsidTr="00532B49">
        <w:trPr>
          <w:trHeight w:val="495"/>
        </w:trPr>
        <w:tc>
          <w:tcPr>
            <w:tcW w:w="988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B126FC" w:rsidRPr="00B126FC" w:rsidTr="00532B49">
        <w:tc>
          <w:tcPr>
            <w:tcW w:w="988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  <w:gridSpan w:val="6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2" w:type="dxa"/>
            <w:gridSpan w:val="6"/>
          </w:tcPr>
          <w:p w:rsidR="00B126FC" w:rsidRPr="002A7B3A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1: формирование объективного представления и устойчивого интереса </w:t>
            </w:r>
            <w:proofErr w:type="gramStart"/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педагогической профессии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1.1.Участие в работе дискуссионного клуба «Времена истории»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проблемам пед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>агогической и исторической наук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1.2.Участие в организации и проведении научно-педагогических конкурсов регионального уровня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1.3.Участие в организации и проведении научно-педагогических конкурсов всероссийского уровня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1.4.Участие в организации и проведении научно-педагогических конкурсов международного уровня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72" w:type="dxa"/>
            <w:gridSpan w:val="6"/>
          </w:tcPr>
          <w:p w:rsidR="00B126FC" w:rsidRPr="00B126FC" w:rsidRDefault="00B126FC" w:rsidP="00064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Цель 2</w:t>
            </w:r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>. формирование методологических знаний и навыков проведения научного исследования в сфере педагогики как отрасли научного знания</w:t>
            </w:r>
            <w:r w:rsidR="000649A7"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>, мотивация научной деятельности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участников проекта к обучающему семинару-практикуму «Методология педагогического исследования»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2.2.Проведение научных исследований по актуальным проблемам исторического образования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2.3.Продолжение обучения в магистратуре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2.4.Продолжение обучения в аспирантуре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72" w:type="dxa"/>
            <w:gridSpan w:val="6"/>
          </w:tcPr>
          <w:p w:rsidR="00B126FC" w:rsidRPr="002A7B3A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3: раскрытие и развитие научного потенциала </w:t>
            </w:r>
            <w:proofErr w:type="gramStart"/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педагогики как отрасли научного знания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Апробация и внедрение полученных научных результатов в образовательные учреждения 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публикационной активности студентов </w:t>
            </w: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изданиях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ВАК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публикационной активности студентов </w:t>
            </w: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изданиях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РИНЦ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организации и проведении научн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семинаров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, круглых столов регионального, всероссийского и международного уровней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организации и проведении научных конференций регионального уровня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  <w:r w:rsidR="00FE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организации и проведении научных конференций всероссийского и международного уровней</w:t>
            </w:r>
          </w:p>
        </w:tc>
        <w:tc>
          <w:tcPr>
            <w:tcW w:w="1843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72" w:type="dxa"/>
            <w:gridSpan w:val="6"/>
          </w:tcPr>
          <w:p w:rsidR="00B126FC" w:rsidRPr="002A7B3A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B3A">
              <w:rPr>
                <w:rFonts w:ascii="Times New Roman" w:eastAsia="Calibri" w:hAnsi="Times New Roman" w:cs="Times New Roman"/>
                <w:sz w:val="24"/>
                <w:szCs w:val="24"/>
              </w:rPr>
              <w:t>Цель 4. востребованность выпускников на рынке труда, закрепление профессиональных педагогических кадров</w:t>
            </w:r>
          </w:p>
        </w:tc>
      </w:tr>
      <w:tr w:rsidR="00B126FC" w:rsidRPr="00B126FC" w:rsidTr="00532B49">
        <w:tc>
          <w:tcPr>
            <w:tcW w:w="988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126FC" w:rsidRPr="00B126FC" w:rsidRDefault="00FE2F3D" w:rsidP="00AD73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AD73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040C"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="00F3040C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 в профессии (сфера образования)</w:t>
            </w:r>
            <w:r w:rsidR="00F3040C"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3040C"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Орловщине</w:t>
            </w:r>
            <w:proofErr w:type="spellEnd"/>
          </w:p>
        </w:tc>
        <w:tc>
          <w:tcPr>
            <w:tcW w:w="1843" w:type="dxa"/>
          </w:tcPr>
          <w:p w:rsidR="00B126FC" w:rsidRPr="00B126FC" w:rsidRDefault="00F3040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305" w:type="dxa"/>
          </w:tcPr>
          <w:p w:rsidR="00B126FC" w:rsidRPr="00B126FC" w:rsidRDefault="00F3040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05" w:type="dxa"/>
          </w:tcPr>
          <w:p w:rsidR="00B126FC" w:rsidRPr="00B126FC" w:rsidRDefault="00F3040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B126FC" w:rsidRPr="00B126FC" w:rsidRDefault="00F3040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8" w:type="dxa"/>
          </w:tcPr>
          <w:p w:rsidR="00B126FC" w:rsidRPr="00B126FC" w:rsidRDefault="00F3040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</w:tbl>
    <w:p w:rsidR="002A7B3A" w:rsidRDefault="002A7B3A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A7B3A" w:rsidRDefault="002A7B3A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6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III </w:t>
      </w:r>
      <w:r w:rsidRPr="00B126FC">
        <w:rPr>
          <w:rFonts w:ascii="Times New Roman" w:eastAsia="Calibri" w:hAnsi="Times New Roman" w:cs="Times New Roman"/>
          <w:sz w:val="24"/>
          <w:szCs w:val="24"/>
        </w:rPr>
        <w:t>Структура проекта</w:t>
      </w:r>
    </w:p>
    <w:p w:rsidR="00B126FC" w:rsidRP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6910"/>
      </w:tblGrid>
      <w:tr w:rsidR="00B126FC" w:rsidRPr="00B126FC" w:rsidTr="00532B49">
        <w:tc>
          <w:tcPr>
            <w:tcW w:w="704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2126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91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Партнеры</w:t>
            </w:r>
          </w:p>
        </w:tc>
      </w:tr>
      <w:tr w:rsidR="00B126FC" w:rsidRPr="00B126FC" w:rsidTr="00532B49">
        <w:tc>
          <w:tcPr>
            <w:tcW w:w="704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вне шаблона</w:t>
            </w:r>
          </w:p>
        </w:tc>
        <w:tc>
          <w:tcPr>
            <w:tcW w:w="2126" w:type="dxa"/>
            <w:vMerge w:val="restart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01.09. 2020 г. –</w:t>
            </w: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31.08. 2024 г.</w:t>
            </w: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B126FC" w:rsidRPr="00B126FC" w:rsidRDefault="00B126FC" w:rsidP="00064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БУОО «Государственный архив Орловской области», МКУК «Орловский краеведческий музей», ОРООО «Педагогическое общество России», БУКОО «Орловская областная научная универсальная публичная библиотека им. И. А. Бунина»</w:t>
            </w:r>
          </w:p>
        </w:tc>
      </w:tr>
      <w:tr w:rsidR="00B126FC" w:rsidRPr="00B126FC" w:rsidTr="00532B49">
        <w:tc>
          <w:tcPr>
            <w:tcW w:w="704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наука </w:t>
            </w:r>
          </w:p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ОО ДПО «Институт развития образования», Лаборатория сельской школы ФГБОУ </w:t>
            </w:r>
            <w:proofErr w:type="gramStart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«Орловский государственный университет имени И.С. Тургенева»</w:t>
            </w:r>
          </w:p>
        </w:tc>
      </w:tr>
      <w:tr w:rsidR="00B126FC" w:rsidRPr="00B126FC" w:rsidTr="00532B49">
        <w:tc>
          <w:tcPr>
            <w:tcW w:w="704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Малая Родина – точка входа в профессию</w:t>
            </w:r>
          </w:p>
        </w:tc>
        <w:tc>
          <w:tcPr>
            <w:tcW w:w="2126" w:type="dxa"/>
            <w:vMerge/>
          </w:tcPr>
          <w:p w:rsidR="00B126FC" w:rsidRPr="00B126FC" w:rsidRDefault="00B126FC" w:rsidP="00B12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B126FC" w:rsidRPr="00B126FC" w:rsidRDefault="00B126FC" w:rsidP="00B126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6FC">
              <w:rPr>
                <w:rFonts w:ascii="Times New Roman" w:eastAsia="Calibri" w:hAnsi="Times New Roman" w:cs="Times New Roman"/>
                <w:sz w:val="24"/>
                <w:szCs w:val="24"/>
              </w:rPr>
              <w:t>БУ ОО ДПО «Институт развития образования», Региональный Центр оценки качества</w:t>
            </w:r>
            <w:r w:rsidR="00064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Орловской области.</w:t>
            </w:r>
          </w:p>
        </w:tc>
      </w:tr>
    </w:tbl>
    <w:p w:rsidR="00B126FC" w:rsidRDefault="00B126FC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49A7" w:rsidRPr="000649A7" w:rsidRDefault="000649A7" w:rsidP="00064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49A7">
        <w:rPr>
          <w:rFonts w:ascii="Times New Roman" w:eastAsia="Calibri" w:hAnsi="Times New Roman" w:cs="Times New Roman"/>
          <w:sz w:val="24"/>
          <w:szCs w:val="24"/>
        </w:rPr>
        <w:t>Дополнительная информация</w:t>
      </w:r>
    </w:p>
    <w:p w:rsidR="000649A7" w:rsidRPr="000649A7" w:rsidRDefault="000649A7" w:rsidP="00064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49A7">
        <w:rPr>
          <w:rFonts w:ascii="Times New Roman" w:eastAsia="Calibri" w:hAnsi="Times New Roman" w:cs="Times New Roman"/>
          <w:sz w:val="24"/>
          <w:szCs w:val="24"/>
        </w:rPr>
        <w:t>Проект направлен на формирование объективного представления и устойчивого интереса обучающихся к педагогической профессии, методологических знаний и навыков проведения научного исследования в сфере педагогики как отрасли научного знания, мотиваци</w:t>
      </w:r>
      <w:r>
        <w:rPr>
          <w:rFonts w:ascii="Times New Roman" w:eastAsia="Calibri" w:hAnsi="Times New Roman" w:cs="Times New Roman"/>
          <w:sz w:val="24"/>
          <w:szCs w:val="24"/>
        </w:rPr>
        <w:t>ю к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 научной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 раскрытие и развитие научного потенциала обучающихся в сфере педагогики как отрасли научного знания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 востребованност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 выпускников на рынке труда, закрепление профессиональных педагогических кадров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Орловщине</w:t>
      </w:r>
      <w:proofErr w:type="spellEnd"/>
      <w:r w:rsidRPr="000649A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проекта предусмотрено проведение научных, </w:t>
      </w:r>
      <w:r>
        <w:rPr>
          <w:rFonts w:ascii="Times New Roman" w:eastAsia="Calibri" w:hAnsi="Times New Roman" w:cs="Times New Roman"/>
          <w:sz w:val="24"/>
          <w:szCs w:val="24"/>
        </w:rPr>
        <w:t>научно-практических</w:t>
      </w:r>
      <w:r w:rsidRPr="000649A7">
        <w:rPr>
          <w:rFonts w:ascii="Times New Roman" w:eastAsia="Calibri" w:hAnsi="Times New Roman" w:cs="Times New Roman"/>
          <w:sz w:val="24"/>
          <w:szCs w:val="24"/>
        </w:rPr>
        <w:t xml:space="preserve"> мероп</w:t>
      </w:r>
      <w:r>
        <w:rPr>
          <w:rFonts w:ascii="Times New Roman" w:eastAsia="Calibri" w:hAnsi="Times New Roman" w:cs="Times New Roman"/>
          <w:sz w:val="24"/>
          <w:szCs w:val="24"/>
        </w:rPr>
        <w:t>риятий и творческих конкурсов различного уровня и форм, обучающих семинаров.</w:t>
      </w:r>
    </w:p>
    <w:p w:rsidR="000649A7" w:rsidRPr="000649A7" w:rsidRDefault="000649A7" w:rsidP="00064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9A7">
        <w:rPr>
          <w:rFonts w:ascii="Times New Roman" w:eastAsia="Calibri" w:hAnsi="Times New Roman" w:cs="Times New Roman"/>
          <w:sz w:val="24"/>
          <w:szCs w:val="24"/>
        </w:rPr>
        <w:t>Особое внимание будет уделено выявлению и привлечению талантливой молодежи к научной деятельности.</w:t>
      </w:r>
    </w:p>
    <w:p w:rsidR="000649A7" w:rsidRPr="000649A7" w:rsidRDefault="000649A7" w:rsidP="00064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9A7">
        <w:rPr>
          <w:rFonts w:ascii="Times New Roman" w:eastAsia="Calibri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p w:rsidR="000649A7" w:rsidRPr="000649A7" w:rsidRDefault="000649A7" w:rsidP="00064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49A7" w:rsidRPr="00B126FC" w:rsidRDefault="000649A7" w:rsidP="00B12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649A7" w:rsidRPr="00B126FC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53"/>
    <w:rsid w:val="000649A7"/>
    <w:rsid w:val="002A7B3A"/>
    <w:rsid w:val="005137E5"/>
    <w:rsid w:val="00550553"/>
    <w:rsid w:val="008E7764"/>
    <w:rsid w:val="00AD735A"/>
    <w:rsid w:val="00B126FC"/>
    <w:rsid w:val="00B75656"/>
    <w:rsid w:val="00BB5EC0"/>
    <w:rsid w:val="00C93958"/>
    <w:rsid w:val="00F3040C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2020-10-05T06:44:00Z</dcterms:created>
  <dcterms:modified xsi:type="dcterms:W3CDTF">2021-09-05T09:13:00Z</dcterms:modified>
</cp:coreProperties>
</file>